
<file path=[Content_Types].xml><?xml version="1.0" encoding="utf-8"?>
<Types xmlns="http://schemas.openxmlformats.org/package/2006/content-types">
  <Default Extension="xml" ContentType="application/xml"/>
  <Default Extension="wmf" ContentType="image/x-wmf"/>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pPr>
      <w:bookmarkStart w:id="110" w:name="_GoBack"/>
      <w:bookmarkEnd w:id="110"/>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ind w:firstLine="0"/>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pStyle w:val="17"/>
      </w:pPr>
      <w:r>
        <w:rPr>
          <w:rFonts w:hint="eastAsia"/>
        </w:rPr>
        <w:t>中国三级甲等综合医院</w:t>
      </w:r>
    </w:p>
    <w:p>
      <w:pPr>
        <w:pStyle w:val="17"/>
      </w:pPr>
      <w:r>
        <w:t>临床微生物实验室真菌检测能力</w:t>
      </w:r>
    </w:p>
    <w:p>
      <w:pPr>
        <w:pStyle w:val="17"/>
      </w:pPr>
      <w:r>
        <w:rPr>
          <w:rFonts w:hint="eastAsia"/>
        </w:rPr>
        <w:t>基线调研</w:t>
      </w:r>
      <w:r>
        <w:t>报告</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pStyle w:val="13"/>
      </w:pPr>
      <w:r>
        <w:rPr>
          <w:rFonts w:hint="eastAsia"/>
        </w:rPr>
        <w:t>中国初级卫生保健基金会</w:t>
      </w:r>
    </w:p>
    <w:p>
      <w:pPr>
        <w:pStyle w:val="13"/>
      </w:pPr>
      <w:r>
        <w:rPr>
          <w:rFonts w:hint="eastAsia"/>
        </w:rPr>
        <w:t>2</w:t>
      </w:r>
      <w:r>
        <w:t>018</w:t>
      </w:r>
      <w:r>
        <w:rPr>
          <w:rFonts w:hint="eastAsia"/>
        </w:rPr>
        <w:t>年7月</w:t>
      </w:r>
    </w:p>
    <w:p>
      <w:pPr>
        <w:pStyle w:val="13"/>
      </w:pPr>
    </w:p>
    <w:p/>
    <w:p>
      <w:r>
        <w:br w:type="page"/>
      </w:r>
    </w:p>
    <w:p>
      <w:pPr>
        <w:pStyle w:val="2"/>
      </w:pPr>
      <w:bookmarkStart w:id="0" w:name="_Toc519025134"/>
      <w:bookmarkStart w:id="1" w:name="_Toc519069675"/>
      <w:r>
        <w:rPr>
          <w:rFonts w:hint="eastAsia"/>
        </w:rPr>
        <w:t>目录</w:t>
      </w:r>
      <w:bookmarkEnd w:id="0"/>
      <w:bookmarkEnd w:id="1"/>
    </w:p>
    <w:sdt>
      <w:sdtPr>
        <w:id w:val="1682396664"/>
        <w:docPartObj>
          <w:docPartGallery w:val="Table of Contents"/>
          <w:docPartUnique/>
        </w:docPartObj>
      </w:sdtPr>
      <w:sdtEndPr>
        <w:rPr>
          <w:b/>
          <w:bCs/>
        </w:rPr>
      </w:sdtEndPr>
      <w:sdtContent>
        <w:p>
          <w:pPr>
            <w:pStyle w:val="12"/>
            <w:tabs>
              <w:tab w:val="right" w:leader="dot" w:pos="9016"/>
            </w:tabs>
            <w:rPr>
              <w:rFonts w:asciiTheme="minorHAnsi" w:hAnsiTheme="minorHAnsi" w:eastAsiaTheme="minorEastAsia"/>
              <w:szCs w:val="22"/>
            </w:rPr>
          </w:pPr>
          <w:r>
            <w:fldChar w:fldCharType="begin"/>
          </w:r>
          <w:r>
            <w:instrText xml:space="preserve"> TOC \o "1-3" \h \z \u </w:instrText>
          </w:r>
          <w:r>
            <w:fldChar w:fldCharType="separate"/>
          </w:r>
        </w:p>
        <w:p>
          <w:pPr>
            <w:pStyle w:val="12"/>
            <w:tabs>
              <w:tab w:val="right" w:leader="dot" w:pos="9016"/>
            </w:tabs>
            <w:spacing w:before="120"/>
            <w:rPr>
              <w:rFonts w:asciiTheme="minorHAnsi" w:hAnsiTheme="minorHAnsi" w:eastAsiaTheme="minorEastAsia"/>
              <w:szCs w:val="22"/>
            </w:rPr>
          </w:pPr>
          <w:r>
            <w:fldChar w:fldCharType="begin"/>
          </w:r>
          <w:r>
            <w:instrText xml:space="preserve"> HYPERLINK \l "_Toc519069676" </w:instrText>
          </w:r>
          <w:r>
            <w:fldChar w:fldCharType="separate"/>
          </w:r>
          <w:r>
            <w:rPr>
              <w:rStyle w:val="22"/>
              <w:rFonts w:hint="eastAsia"/>
              <w:b/>
            </w:rPr>
            <w:t>执行摘要</w:t>
          </w:r>
          <w:r>
            <w:tab/>
          </w:r>
          <w:r>
            <w:fldChar w:fldCharType="begin"/>
          </w:r>
          <w:r>
            <w:instrText xml:space="preserve"> PAGEREF _Toc519069676 \h </w:instrText>
          </w:r>
          <w:r>
            <w:fldChar w:fldCharType="separate"/>
          </w:r>
          <w:r>
            <w:t>4</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"_Toc519069677" </w:instrText>
          </w:r>
          <w:r>
            <w:fldChar w:fldCharType="separate"/>
          </w:r>
          <w:r>
            <w:rPr>
              <w:rStyle w:val="22"/>
              <w:rFonts w:hint="eastAsia"/>
              <w:b/>
            </w:rPr>
            <w:t>前言</w:t>
          </w:r>
          <w:r>
            <w:tab/>
          </w:r>
          <w:r>
            <w:fldChar w:fldCharType="begin"/>
          </w:r>
          <w:r>
            <w:instrText xml:space="preserve"> PAGEREF _Toc519069677 \h </w:instrText>
          </w:r>
          <w:r>
            <w:fldChar w:fldCharType="separate"/>
          </w:r>
          <w:r>
            <w:t>5</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"_Toc519069678" </w:instrText>
          </w:r>
          <w:r>
            <w:fldChar w:fldCharType="separate"/>
          </w:r>
          <w:r>
            <w:rPr>
              <w:rStyle w:val="22"/>
              <w:rFonts w:hint="eastAsia"/>
              <w:b/>
            </w:rPr>
            <w:t>调研基本信息</w:t>
          </w:r>
          <w:r>
            <w:tab/>
          </w:r>
          <w:r>
            <w:fldChar w:fldCharType="begin"/>
          </w:r>
          <w:r>
            <w:instrText xml:space="preserve"> PAGEREF _Toc519069678 \h </w:instrText>
          </w:r>
          <w:r>
            <w:fldChar w:fldCharType="separate"/>
          </w:r>
          <w:r>
            <w:t>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"_Toc519069679" </w:instrText>
          </w:r>
          <w:r>
            <w:fldChar w:fldCharType="separate"/>
          </w:r>
          <w:r>
            <w:rPr>
              <w:rStyle w:val="22"/>
              <w:rFonts w:hint="eastAsia"/>
              <w14:scene3d w14:prst="orthographicFront">
                <w14:lightRig w14:rig="threePt" w14:dir="t">
                  <w14:rot w14:lat="0" w14:lon="0" w14:rev="0"/>
                </w14:lightRig>
              </w14:scene3d>
            </w:rPr>
            <w:t>一．</w:t>
          </w:r>
          <w:r>
            <w:rPr>
              <w:rFonts w:asciiTheme="minorHAnsi" w:hAnsiTheme="minorHAnsi" w:eastAsiaTheme="minorEastAsia"/>
              <w:szCs w:val="22"/>
            </w:rPr>
            <w:tab/>
          </w:r>
          <w:r>
            <w:rPr>
              <w:rStyle w:val="22"/>
              <w:rFonts w:hint="eastAsia"/>
            </w:rPr>
            <w:t>调研目的</w:t>
          </w:r>
          <w:r>
            <w:tab/>
          </w:r>
          <w:r>
            <w:fldChar w:fldCharType="begin"/>
          </w:r>
          <w:r>
            <w:instrText xml:space="preserve"> PAGEREF _Toc519069679 \h </w:instrText>
          </w:r>
          <w:r>
            <w:fldChar w:fldCharType="separate"/>
          </w:r>
          <w:r>
            <w:t>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"_Toc519069680" </w:instrText>
          </w:r>
          <w:r>
            <w:fldChar w:fldCharType="separate"/>
          </w:r>
          <w:r>
            <w:rPr>
              <w:rStyle w:val="22"/>
              <w:rFonts w:hint="eastAsia"/>
              <w14:scene3d w14:prst="orthographicFront">
                <w14:lightRig w14:rig="threePt" w14:dir="t">
                  <w14:rot w14:lat="0" w14:lon="0" w14:rev="0"/>
                </w14:lightRig>
              </w14:scene3d>
            </w:rPr>
            <w:t>二．</w:t>
          </w:r>
          <w:r>
            <w:rPr>
              <w:rFonts w:asciiTheme="minorHAnsi" w:hAnsiTheme="minorHAnsi" w:eastAsiaTheme="minorEastAsia"/>
              <w:szCs w:val="22"/>
            </w:rPr>
            <w:tab/>
          </w:r>
          <w:r>
            <w:rPr>
              <w:rStyle w:val="22"/>
              <w:rFonts w:hint="eastAsia"/>
            </w:rPr>
            <w:t>调研对象</w:t>
          </w:r>
          <w:r>
            <w:tab/>
          </w:r>
          <w:r>
            <w:fldChar w:fldCharType="begin"/>
          </w:r>
          <w:r>
            <w:instrText xml:space="preserve"> PAGEREF _Toc519069680 \h </w:instrText>
          </w:r>
          <w:r>
            <w:fldChar w:fldCharType="separate"/>
          </w:r>
          <w:r>
            <w:t>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"_Toc519069681" </w:instrText>
          </w:r>
          <w:r>
            <w:fldChar w:fldCharType="separate"/>
          </w:r>
          <w:r>
            <w:rPr>
              <w:rStyle w:val="22"/>
              <w:rFonts w:hint="eastAsia"/>
              <w14:scene3d w14:prst="orthographicFront">
                <w14:lightRig w14:rig="threePt" w14:dir="t">
                  <w14:rot w14:lat="0" w14:lon="0" w14:rev="0"/>
                </w14:lightRig>
              </w14:scene3d>
            </w:rPr>
            <w:t>三．</w:t>
          </w:r>
          <w:r>
            <w:rPr>
              <w:rFonts w:asciiTheme="minorHAnsi" w:hAnsiTheme="minorHAnsi" w:eastAsiaTheme="minorEastAsia"/>
              <w:szCs w:val="22"/>
            </w:rPr>
            <w:tab/>
          </w:r>
          <w:r>
            <w:rPr>
              <w:rStyle w:val="22"/>
              <w:rFonts w:hint="eastAsia"/>
            </w:rPr>
            <w:t>调研方式</w:t>
          </w:r>
          <w:r>
            <w:tab/>
          </w:r>
          <w:r>
            <w:fldChar w:fldCharType="begin"/>
          </w:r>
          <w:r>
            <w:instrText xml:space="preserve"> PAGEREF _Toc519069681 \h </w:instrText>
          </w:r>
          <w:r>
            <w:fldChar w:fldCharType="separate"/>
          </w:r>
          <w:r>
            <w:t>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"_Toc519069682" </w:instrText>
          </w:r>
          <w:r>
            <w:fldChar w:fldCharType="separate"/>
          </w:r>
          <w:r>
            <w:rPr>
              <w:rStyle w:val="22"/>
              <w:rFonts w:hint="eastAsia"/>
              <w14:scene3d w14:prst="orthographicFront">
                <w14:lightRig w14:rig="threePt" w14:dir="t">
                  <w14:rot w14:lat="0" w14:lon="0" w14:rev="0"/>
                </w14:lightRig>
              </w14:scene3d>
            </w:rPr>
            <w:t>四．</w:t>
          </w:r>
          <w:r>
            <w:rPr>
              <w:rFonts w:asciiTheme="minorHAnsi" w:hAnsiTheme="minorHAnsi" w:eastAsiaTheme="minorEastAsia"/>
              <w:szCs w:val="22"/>
            </w:rPr>
            <w:tab/>
          </w:r>
          <w:r>
            <w:rPr>
              <w:rStyle w:val="22"/>
              <w:rFonts w:hint="eastAsia"/>
            </w:rPr>
            <w:t>参与调研医院基本信息</w:t>
          </w:r>
          <w:r>
            <w:tab/>
          </w:r>
          <w:r>
            <w:fldChar w:fldCharType="begin"/>
          </w:r>
          <w:r>
            <w:instrText xml:space="preserve"> PAGEREF _Toc519069682 \h </w:instrText>
          </w:r>
          <w:r>
            <w:fldChar w:fldCharType="separate"/>
          </w:r>
          <w:r>
            <w:t>6</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"_Toc519069683" </w:instrText>
          </w:r>
          <w:r>
            <w:fldChar w:fldCharType="separate"/>
          </w:r>
          <w:r>
            <w:rPr>
              <w:rStyle w:val="22"/>
              <w:rFonts w:hint="eastAsia"/>
              <w:b/>
            </w:rPr>
            <w:t>调研结果</w:t>
          </w:r>
          <w:r>
            <w:tab/>
          </w:r>
          <w:r>
            <w:fldChar w:fldCharType="begin"/>
          </w:r>
          <w:r>
            <w:instrText xml:space="preserve"> PAGEREF _Toc519069683 \h </w:instrText>
          </w:r>
          <w:r>
            <w:fldChar w:fldCharType="separate"/>
          </w:r>
          <w:r>
            <w:t>8</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"_Toc519069684" </w:instrText>
          </w:r>
          <w:r>
            <w:fldChar w:fldCharType="separate"/>
          </w:r>
          <w:r>
            <w:rPr>
              <w:rStyle w:val="22"/>
              <w:rFonts w:hint="eastAsia"/>
              <w14:scene3d w14:prst="orthographicFront">
                <w14:lightRig w14:rig="threePt" w14:dir="t">
                  <w14:rot w14:lat="0" w14:lon="0" w14:rev="0"/>
                </w14:lightRig>
              </w14:scene3d>
            </w:rPr>
            <w:t>一．</w:t>
          </w:r>
          <w:r>
            <w:rPr>
              <w:rFonts w:asciiTheme="minorHAnsi" w:hAnsiTheme="minorHAnsi" w:eastAsiaTheme="minorEastAsia"/>
              <w:szCs w:val="22"/>
            </w:rPr>
            <w:tab/>
          </w:r>
          <w:r>
            <w:rPr>
              <w:rStyle w:val="22"/>
              <w:rFonts w:hint="eastAsia"/>
            </w:rPr>
            <w:t>实验室硬件水平</w:t>
          </w:r>
          <w:r>
            <w:tab/>
          </w:r>
          <w:r>
            <w:fldChar w:fldCharType="begin"/>
          </w:r>
          <w:r>
            <w:instrText xml:space="preserve"> PAGEREF _Toc519069684 \h </w:instrText>
          </w:r>
          <w:r>
            <w:fldChar w:fldCharType="separate"/>
          </w:r>
          <w:r>
            <w:t>8</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"_Toc519069685" </w:instrText>
          </w:r>
          <w:r>
            <w:fldChar w:fldCharType="separate"/>
          </w:r>
          <w:r>
            <w:rPr>
              <w:rStyle w:val="22"/>
            </w:rPr>
            <w:t>1.</w:t>
          </w:r>
          <w:r>
            <w:rPr>
              <w:rFonts w:asciiTheme="minorHAnsi" w:hAnsiTheme="minorHAnsi" w:eastAsiaTheme="minorEastAsia"/>
              <w:szCs w:val="22"/>
            </w:rPr>
            <w:tab/>
          </w:r>
          <w:r>
            <w:rPr>
              <w:rStyle w:val="22"/>
              <w:rFonts w:hint="eastAsia"/>
            </w:rPr>
            <w:t>真菌工作区域</w:t>
          </w:r>
          <w:r>
            <w:tab/>
          </w:r>
          <w:r>
            <w:fldChar w:fldCharType="begin"/>
          </w:r>
          <w:r>
            <w:instrText xml:space="preserve"> PAGEREF _Toc519069685 \h </w:instrText>
          </w:r>
          <w:r>
            <w:fldChar w:fldCharType="separate"/>
          </w:r>
          <w:r>
            <w:t>8</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"_Toc519069686" </w:instrText>
          </w:r>
          <w:r>
            <w:fldChar w:fldCharType="separate"/>
          </w:r>
          <w:r>
            <w:rPr>
              <w:rStyle w:val="22"/>
            </w:rPr>
            <w:t>2.</w:t>
          </w:r>
          <w:r>
            <w:rPr>
              <w:rFonts w:asciiTheme="minorHAnsi" w:hAnsiTheme="minorHAnsi" w:eastAsiaTheme="minorEastAsia"/>
              <w:szCs w:val="22"/>
            </w:rPr>
            <w:tab/>
          </w:r>
          <w:r>
            <w:rPr>
              <w:rStyle w:val="22"/>
              <w:rFonts w:hint="eastAsia"/>
            </w:rPr>
            <w:t>安全柜</w:t>
          </w:r>
          <w:r>
            <w:tab/>
          </w:r>
          <w:r>
            <w:fldChar w:fldCharType="begin"/>
          </w:r>
          <w:r>
            <w:instrText xml:space="preserve"> PAGEREF _Toc519069686 \h </w:instrText>
          </w:r>
          <w:r>
            <w:fldChar w:fldCharType="separate"/>
          </w:r>
          <w:r>
            <w:t>9</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"_Toc519069687" </w:instrText>
          </w:r>
          <w:r>
            <w:fldChar w:fldCharType="separate"/>
          </w:r>
          <w:r>
            <w:rPr>
              <w:rStyle w:val="22"/>
            </w:rPr>
            <w:t>3.</w:t>
          </w:r>
          <w:r>
            <w:rPr>
              <w:rFonts w:asciiTheme="minorHAnsi" w:hAnsiTheme="minorHAnsi" w:eastAsiaTheme="minorEastAsia"/>
              <w:szCs w:val="22"/>
            </w:rPr>
            <w:tab/>
          </w:r>
          <w:r>
            <w:rPr>
              <w:rStyle w:val="22"/>
              <w:rFonts w:hint="eastAsia"/>
            </w:rPr>
            <w:t>培养孵箱</w:t>
          </w:r>
          <w:r>
            <w:tab/>
          </w:r>
          <w:r>
            <w:fldChar w:fldCharType="begin"/>
          </w:r>
          <w:r>
            <w:instrText xml:space="preserve"> PAGEREF _Toc519069687 \h </w:instrText>
          </w:r>
          <w:r>
            <w:fldChar w:fldCharType="separate"/>
          </w:r>
          <w:r>
            <w:t>9</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"_Toc519069688" </w:instrText>
          </w:r>
          <w:r>
            <w:fldChar w:fldCharType="separate"/>
          </w:r>
          <w:r>
            <w:rPr>
              <w:rStyle w:val="22"/>
            </w:rPr>
            <w:t>4.</w:t>
          </w:r>
          <w:r>
            <w:rPr>
              <w:rFonts w:asciiTheme="minorHAnsi" w:hAnsiTheme="minorHAnsi" w:eastAsiaTheme="minorEastAsia"/>
              <w:szCs w:val="22"/>
            </w:rPr>
            <w:tab/>
          </w:r>
          <w:r>
            <w:rPr>
              <w:rStyle w:val="22"/>
              <w:rFonts w:hint="eastAsia"/>
            </w:rPr>
            <w:t>亚专业分组</w:t>
          </w:r>
          <w:r>
            <w:tab/>
          </w:r>
          <w:r>
            <w:fldChar w:fldCharType="begin"/>
          </w:r>
          <w:r>
            <w:instrText xml:space="preserve"> PAGEREF _Toc519069688 \h </w:instrText>
          </w:r>
          <w:r>
            <w:fldChar w:fldCharType="separate"/>
          </w:r>
          <w:r>
            <w:t>10</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"_Toc519069689" </w:instrText>
          </w:r>
          <w:r>
            <w:fldChar w:fldCharType="separate"/>
          </w:r>
          <w:r>
            <w:rPr>
              <w:rStyle w:val="22"/>
              <w:rFonts w:hint="eastAsia"/>
              <w14:scene3d w14:prst="orthographicFront">
                <w14:lightRig w14:rig="threePt" w14:dir="t">
                  <w14:rot w14:lat="0" w14:lon="0" w14:rev="0"/>
                </w14:lightRig>
              </w14:scene3d>
            </w:rPr>
            <w:t>二．</w:t>
          </w:r>
          <w:r>
            <w:rPr>
              <w:rFonts w:asciiTheme="minorHAnsi" w:hAnsiTheme="minorHAnsi" w:eastAsiaTheme="minorEastAsia"/>
              <w:szCs w:val="22"/>
            </w:rPr>
            <w:tab/>
          </w:r>
          <w:r>
            <w:rPr>
              <w:rStyle w:val="22"/>
              <w:rFonts w:hint="eastAsia"/>
            </w:rPr>
            <w:t>人员配备情况</w:t>
          </w:r>
          <w:r>
            <w:tab/>
          </w:r>
          <w:r>
            <w:fldChar w:fldCharType="begin"/>
          </w:r>
          <w:r>
            <w:instrText xml:space="preserve"> PAGEREF _Toc519069689 \h </w:instrText>
          </w:r>
          <w:r>
            <w:fldChar w:fldCharType="separate"/>
          </w:r>
          <w:r>
            <w:t>11</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"_Toc519069690" </w:instrText>
          </w:r>
          <w:r>
            <w:fldChar w:fldCharType="separate"/>
          </w:r>
          <w:r>
            <w:rPr>
              <w:rStyle w:val="22"/>
            </w:rPr>
            <w:t>1.</w:t>
          </w:r>
          <w:r>
            <w:rPr>
              <w:rFonts w:asciiTheme="minorHAnsi" w:hAnsiTheme="minorHAnsi" w:eastAsiaTheme="minorEastAsia"/>
              <w:szCs w:val="22"/>
            </w:rPr>
            <w:tab/>
          </w:r>
          <w:r>
            <w:rPr>
              <w:rStyle w:val="22"/>
              <w:rFonts w:hint="eastAsia"/>
            </w:rPr>
            <w:t>员工人数</w:t>
          </w:r>
          <w:r>
            <w:tab/>
          </w:r>
          <w:r>
            <w:fldChar w:fldCharType="begin"/>
          </w:r>
          <w:r>
            <w:instrText xml:space="preserve"> PAGEREF _Toc519069690 \h </w:instrText>
          </w:r>
          <w:r>
            <w:fldChar w:fldCharType="separate"/>
          </w:r>
          <w:r>
            <w:t>11</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"_Toc519069691" </w:instrText>
          </w:r>
          <w:r>
            <w:fldChar w:fldCharType="separate"/>
          </w:r>
          <w:r>
            <w:rPr>
              <w:rStyle w:val="22"/>
            </w:rPr>
            <w:t>2.</w:t>
          </w:r>
          <w:r>
            <w:rPr>
              <w:rFonts w:asciiTheme="minorHAnsi" w:hAnsiTheme="minorHAnsi" w:eastAsiaTheme="minorEastAsia"/>
              <w:szCs w:val="22"/>
            </w:rPr>
            <w:tab/>
          </w:r>
          <w:r>
            <w:rPr>
              <w:rStyle w:val="22"/>
              <w:rFonts w:hint="eastAsia"/>
            </w:rPr>
            <w:t>员工构成</w:t>
          </w:r>
          <w:r>
            <w:tab/>
          </w:r>
          <w:r>
            <w:fldChar w:fldCharType="begin"/>
          </w:r>
          <w:r>
            <w:instrText xml:space="preserve"> PAGEREF _Toc519069691 \h </w:instrText>
          </w:r>
          <w:r>
            <w:fldChar w:fldCharType="separate"/>
          </w:r>
          <w:r>
            <w:t>11</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"_Toc519069692" </w:instrText>
          </w:r>
          <w:r>
            <w:fldChar w:fldCharType="separate"/>
          </w:r>
          <w:r>
            <w:rPr>
              <w:rStyle w:val="22"/>
            </w:rPr>
            <w:t>3.</w:t>
          </w:r>
          <w:r>
            <w:rPr>
              <w:rFonts w:asciiTheme="minorHAnsi" w:hAnsiTheme="minorHAnsi" w:eastAsiaTheme="minorEastAsia"/>
              <w:szCs w:val="22"/>
            </w:rPr>
            <w:tab/>
          </w:r>
          <w:r>
            <w:rPr>
              <w:rStyle w:val="22"/>
              <w:rFonts w:hint="eastAsia"/>
            </w:rPr>
            <w:t>学历构成</w:t>
          </w:r>
          <w:r>
            <w:tab/>
          </w:r>
          <w:r>
            <w:fldChar w:fldCharType="begin"/>
          </w:r>
          <w:r>
            <w:instrText xml:space="preserve"> PAGEREF _Toc519069692 \h </w:instrText>
          </w:r>
          <w:r>
            <w:fldChar w:fldCharType="separate"/>
          </w:r>
          <w:r>
            <w:t>12</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"_Toc519069693" </w:instrText>
          </w:r>
          <w:r>
            <w:fldChar w:fldCharType="separate"/>
          </w:r>
          <w:r>
            <w:rPr>
              <w:rStyle w:val="22"/>
              <w:rFonts w:hint="eastAsia"/>
              <w14:scene3d w14:prst="orthographicFront">
                <w14:lightRig w14:rig="threePt" w14:dir="t">
                  <w14:rot w14:lat="0" w14:lon="0" w14:rev="0"/>
                </w14:lightRig>
              </w14:scene3d>
            </w:rPr>
            <w:t>三．</w:t>
          </w:r>
          <w:r>
            <w:rPr>
              <w:rFonts w:asciiTheme="minorHAnsi" w:hAnsiTheme="minorHAnsi" w:eastAsiaTheme="minorEastAsia"/>
              <w:szCs w:val="22"/>
            </w:rPr>
            <w:tab/>
          </w:r>
          <w:r>
            <w:rPr>
              <w:rStyle w:val="22"/>
              <w:rFonts w:hint="eastAsia"/>
            </w:rPr>
            <w:t>真菌检测量</w:t>
          </w:r>
          <w:r>
            <w:tab/>
          </w:r>
          <w:r>
            <w:fldChar w:fldCharType="begin"/>
          </w:r>
          <w:r>
            <w:instrText xml:space="preserve"> PAGEREF _Toc519069693 \h </w:instrText>
          </w:r>
          <w:r>
            <w:fldChar w:fldCharType="separate"/>
          </w:r>
          <w:r>
            <w:t>12</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"_Toc519069694" </w:instrText>
          </w:r>
          <w:r>
            <w:fldChar w:fldCharType="separate"/>
          </w:r>
          <w:r>
            <w:rPr>
              <w:rStyle w:val="22"/>
            </w:rPr>
            <w:t>1.</w:t>
          </w:r>
          <w:r>
            <w:rPr>
              <w:rFonts w:asciiTheme="minorHAnsi" w:hAnsiTheme="minorHAnsi" w:eastAsiaTheme="minorEastAsia"/>
              <w:szCs w:val="22"/>
            </w:rPr>
            <w:tab/>
          </w:r>
          <w:r>
            <w:rPr>
              <w:rStyle w:val="22"/>
              <w:rFonts w:hint="eastAsia"/>
            </w:rPr>
            <w:t>真菌检测送检量</w:t>
          </w:r>
          <w:r>
            <w:tab/>
          </w:r>
          <w:r>
            <w:fldChar w:fldCharType="begin"/>
          </w:r>
          <w:r>
            <w:instrText xml:space="preserve"> PAGEREF _Toc519069694 \h </w:instrText>
          </w:r>
          <w:r>
            <w:fldChar w:fldCharType="separate"/>
          </w:r>
          <w:r>
            <w:t>12</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"_Toc519069695" </w:instrText>
          </w:r>
          <w:r>
            <w:fldChar w:fldCharType="separate"/>
          </w:r>
          <w:r>
            <w:rPr>
              <w:rStyle w:val="22"/>
            </w:rPr>
            <w:t>2.</w:t>
          </w:r>
          <w:r>
            <w:rPr>
              <w:rFonts w:asciiTheme="minorHAnsi" w:hAnsiTheme="minorHAnsi" w:eastAsiaTheme="minorEastAsia"/>
              <w:szCs w:val="22"/>
            </w:rPr>
            <w:tab/>
          </w:r>
          <w:r>
            <w:rPr>
              <w:rStyle w:val="22"/>
              <w:rFonts w:hint="eastAsia"/>
            </w:rPr>
            <w:t>菌株保留期限</w:t>
          </w:r>
          <w:r>
            <w:tab/>
          </w:r>
          <w:r>
            <w:fldChar w:fldCharType="begin"/>
          </w:r>
          <w:r>
            <w:instrText xml:space="preserve"> PAGEREF _Toc519069695 \h </w:instrText>
          </w:r>
          <w:r>
            <w:fldChar w:fldCharType="separate"/>
          </w:r>
          <w:r>
            <w:t>14</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"_Toc519069696" </w:instrText>
          </w:r>
          <w:r>
            <w:fldChar w:fldCharType="separate"/>
          </w:r>
          <w:r>
            <w:rPr>
              <w:rStyle w:val="22"/>
              <w:rFonts w:hint="eastAsia"/>
              <w14:scene3d w14:prst="orthographicFront">
                <w14:lightRig w14:rig="threePt" w14:dir="t">
                  <w14:rot w14:lat="0" w14:lon="0" w14:rev="0"/>
                </w14:lightRig>
              </w14:scene3d>
            </w:rPr>
            <w:t>四．</w:t>
          </w:r>
          <w:r>
            <w:rPr>
              <w:rFonts w:asciiTheme="minorHAnsi" w:hAnsiTheme="minorHAnsi" w:eastAsiaTheme="minorEastAsia"/>
              <w:szCs w:val="22"/>
            </w:rPr>
            <w:tab/>
          </w:r>
          <w:r>
            <w:rPr>
              <w:rStyle w:val="22"/>
              <w:rFonts w:hint="eastAsia"/>
            </w:rPr>
            <w:t>真菌检测项目</w:t>
          </w:r>
          <w:r>
            <w:tab/>
          </w:r>
          <w:r>
            <w:fldChar w:fldCharType="begin"/>
          </w:r>
          <w:r>
            <w:instrText xml:space="preserve"> PAGEREF _Toc519069696 \h </w:instrText>
          </w:r>
          <w:r>
            <w:fldChar w:fldCharType="separate"/>
          </w:r>
          <w:r>
            <w:t>16</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"_Toc519069697" </w:instrText>
          </w:r>
          <w:r>
            <w:fldChar w:fldCharType="separate"/>
          </w:r>
          <w:r>
            <w:rPr>
              <w:rStyle w:val="22"/>
            </w:rPr>
            <w:t>1.</w:t>
          </w:r>
          <w:r>
            <w:rPr>
              <w:rFonts w:asciiTheme="minorHAnsi" w:hAnsiTheme="minorHAnsi" w:eastAsiaTheme="minorEastAsia"/>
              <w:szCs w:val="22"/>
            </w:rPr>
            <w:tab/>
          </w:r>
          <w:r>
            <w:rPr>
              <w:rStyle w:val="22"/>
              <w:rFonts w:hint="eastAsia"/>
            </w:rPr>
            <w:t>酵母菌的检测与鉴定</w:t>
          </w:r>
          <w:r>
            <w:tab/>
          </w:r>
          <w:r>
            <w:fldChar w:fldCharType="begin"/>
          </w:r>
          <w:r>
            <w:instrText xml:space="preserve"> PAGEREF _Toc519069697 \h </w:instrText>
          </w:r>
          <w:r>
            <w:fldChar w:fldCharType="separate"/>
          </w:r>
          <w:r>
            <w:t>16</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"_Toc519069698" </w:instrText>
          </w:r>
          <w:r>
            <w:fldChar w:fldCharType="separate"/>
          </w:r>
          <w:r>
            <w:rPr>
              <w:rStyle w:val="22"/>
            </w:rPr>
            <w:t>2.</w:t>
          </w:r>
          <w:r>
            <w:rPr>
              <w:rFonts w:asciiTheme="minorHAnsi" w:hAnsiTheme="minorHAnsi" w:eastAsiaTheme="minorEastAsia"/>
              <w:szCs w:val="22"/>
            </w:rPr>
            <w:tab/>
          </w:r>
          <w:r>
            <w:rPr>
              <w:rStyle w:val="22"/>
              <w:rFonts w:hint="eastAsia"/>
            </w:rPr>
            <w:t>丝状真菌的检测与鉴定</w:t>
          </w:r>
          <w:r>
            <w:tab/>
          </w:r>
          <w:r>
            <w:fldChar w:fldCharType="begin"/>
          </w:r>
          <w:r>
            <w:instrText xml:space="preserve"> PAGEREF _Toc519069698 \h </w:instrText>
          </w:r>
          <w:r>
            <w:fldChar w:fldCharType="separate"/>
          </w:r>
          <w:r>
            <w:t>17</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"_Toc519069699" </w:instrText>
          </w:r>
          <w:r>
            <w:fldChar w:fldCharType="separate"/>
          </w:r>
          <w:r>
            <w:rPr>
              <w:rStyle w:val="22"/>
            </w:rPr>
            <w:t>3.</w:t>
          </w:r>
          <w:r>
            <w:rPr>
              <w:rFonts w:asciiTheme="minorHAnsi" w:hAnsiTheme="minorHAnsi" w:eastAsiaTheme="minorEastAsia"/>
              <w:szCs w:val="22"/>
            </w:rPr>
            <w:tab/>
          </w:r>
          <w:r>
            <w:rPr>
              <w:rStyle w:val="22"/>
              <w:rFonts w:hint="eastAsia"/>
            </w:rPr>
            <w:t>涂片镜检</w:t>
          </w:r>
          <w:r>
            <w:tab/>
          </w:r>
          <w:r>
            <w:fldChar w:fldCharType="begin"/>
          </w:r>
          <w:r>
            <w:instrText xml:space="preserve"> PAGEREF _Toc519069699 \h </w:instrText>
          </w:r>
          <w:r>
            <w:fldChar w:fldCharType="separate"/>
          </w:r>
          <w:r>
            <w:t>17</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"_Toc519069700" </w:instrText>
          </w:r>
          <w:r>
            <w:fldChar w:fldCharType="separate"/>
          </w:r>
          <w:r>
            <w:rPr>
              <w:rStyle w:val="22"/>
            </w:rPr>
            <w:t>4.</w:t>
          </w:r>
          <w:r>
            <w:rPr>
              <w:rFonts w:asciiTheme="minorHAnsi" w:hAnsiTheme="minorHAnsi" w:eastAsiaTheme="minorEastAsia"/>
              <w:szCs w:val="22"/>
            </w:rPr>
            <w:tab/>
          </w:r>
          <w:r>
            <w:rPr>
              <w:rStyle w:val="22"/>
              <w:rFonts w:hint="eastAsia"/>
            </w:rPr>
            <w:t>酵母菌药敏试验</w:t>
          </w:r>
          <w:r>
            <w:tab/>
          </w:r>
          <w:r>
            <w:fldChar w:fldCharType="begin"/>
          </w:r>
          <w:r>
            <w:instrText xml:space="preserve"> PAGEREF _Toc519069700 \h </w:instrText>
          </w:r>
          <w:r>
            <w:fldChar w:fldCharType="separate"/>
          </w:r>
          <w:r>
            <w:t>18</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"_Toc519069701" </w:instrText>
          </w:r>
          <w:r>
            <w:fldChar w:fldCharType="separate"/>
          </w:r>
          <w:r>
            <w:rPr>
              <w:rStyle w:val="22"/>
            </w:rPr>
            <w:t>5.</w:t>
          </w:r>
          <w:r>
            <w:rPr>
              <w:rFonts w:asciiTheme="minorHAnsi" w:hAnsiTheme="minorHAnsi" w:eastAsiaTheme="minorEastAsia"/>
              <w:szCs w:val="22"/>
            </w:rPr>
            <w:tab/>
          </w:r>
          <w:r>
            <w:rPr>
              <w:rStyle w:val="22"/>
              <w:rFonts w:hint="eastAsia"/>
            </w:rPr>
            <w:t>丝状真菌药敏试验</w:t>
          </w:r>
          <w:r>
            <w:tab/>
          </w:r>
          <w:r>
            <w:fldChar w:fldCharType="begin"/>
          </w:r>
          <w:r>
            <w:instrText xml:space="preserve"> PAGEREF _Toc519069701 \h </w:instrText>
          </w:r>
          <w:r>
            <w:fldChar w:fldCharType="separate"/>
          </w:r>
          <w:r>
            <w:t>19</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"_Toc519069702" </w:instrText>
          </w:r>
          <w:r>
            <w:fldChar w:fldCharType="separate"/>
          </w:r>
          <w:r>
            <w:rPr>
              <w:rStyle w:val="22"/>
            </w:rPr>
            <w:t>6.</w:t>
          </w:r>
          <w:r>
            <w:rPr>
              <w:rFonts w:asciiTheme="minorHAnsi" w:hAnsiTheme="minorHAnsi" w:eastAsiaTheme="minorEastAsia"/>
              <w:szCs w:val="22"/>
            </w:rPr>
            <w:tab/>
          </w:r>
          <w:r>
            <w:rPr>
              <w:rStyle w:val="22"/>
              <w:rFonts w:hint="eastAsia"/>
            </w:rPr>
            <w:t>血清学检测</w:t>
          </w:r>
          <w:r>
            <w:tab/>
          </w:r>
          <w:r>
            <w:fldChar w:fldCharType="begin"/>
          </w:r>
          <w:r>
            <w:instrText xml:space="preserve"> PAGEREF _Toc519069702 \h </w:instrText>
          </w:r>
          <w:r>
            <w:fldChar w:fldCharType="separate"/>
          </w:r>
          <w:r>
            <w:t>20</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"_Toc519069703" </w:instrText>
          </w:r>
          <w:r>
            <w:fldChar w:fldCharType="separate"/>
          </w:r>
          <w:r>
            <w:rPr>
              <w:rStyle w:val="22"/>
              <w:rFonts w:hint="eastAsia"/>
              <w14:scene3d w14:prst="orthographicFront">
                <w14:lightRig w14:rig="threePt" w14:dir="t">
                  <w14:rot w14:lat="0" w14:lon="0" w14:rev="0"/>
                </w14:lightRig>
              </w14:scene3d>
            </w:rPr>
            <w:t>五．</w:t>
          </w:r>
          <w:r>
            <w:rPr>
              <w:rFonts w:asciiTheme="minorHAnsi" w:hAnsiTheme="minorHAnsi" w:eastAsiaTheme="minorEastAsia"/>
              <w:szCs w:val="22"/>
            </w:rPr>
            <w:tab/>
          </w:r>
          <w:r>
            <w:rPr>
              <w:rStyle w:val="22"/>
              <w:rFonts w:hint="eastAsia"/>
            </w:rPr>
            <w:t>室间质评和科研</w:t>
          </w:r>
          <w:r>
            <w:tab/>
          </w:r>
          <w:r>
            <w:fldChar w:fldCharType="begin"/>
          </w:r>
          <w:r>
            <w:instrText xml:space="preserve"> PAGEREF _Toc519069703 \h </w:instrText>
          </w:r>
          <w:r>
            <w:fldChar w:fldCharType="separate"/>
          </w:r>
          <w:r>
            <w:t>21</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"_Toc519069704" </w:instrText>
          </w:r>
          <w:r>
            <w:fldChar w:fldCharType="separate"/>
          </w:r>
          <w:r>
            <w:rPr>
              <w:rStyle w:val="22"/>
            </w:rPr>
            <w:t>1.</w:t>
          </w:r>
          <w:r>
            <w:rPr>
              <w:rFonts w:asciiTheme="minorHAnsi" w:hAnsiTheme="minorHAnsi" w:eastAsiaTheme="minorEastAsia"/>
              <w:szCs w:val="22"/>
            </w:rPr>
            <w:tab/>
          </w:r>
          <w:r>
            <w:rPr>
              <w:rStyle w:val="22"/>
              <w:rFonts w:hint="eastAsia"/>
            </w:rPr>
            <w:t>室间质评</w:t>
          </w:r>
          <w:r>
            <w:tab/>
          </w:r>
          <w:r>
            <w:fldChar w:fldCharType="begin"/>
          </w:r>
          <w:r>
            <w:instrText xml:space="preserve"> PAGEREF _Toc519069704 \h </w:instrText>
          </w:r>
          <w:r>
            <w:fldChar w:fldCharType="separate"/>
          </w:r>
          <w:r>
            <w:t>21</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"_Toc519069705" </w:instrText>
          </w:r>
          <w:r>
            <w:fldChar w:fldCharType="separate"/>
          </w:r>
          <w:r>
            <w:rPr>
              <w:rStyle w:val="22"/>
            </w:rPr>
            <w:t>2.</w:t>
          </w:r>
          <w:r>
            <w:rPr>
              <w:rFonts w:asciiTheme="minorHAnsi" w:hAnsiTheme="minorHAnsi" w:eastAsiaTheme="minorEastAsia"/>
              <w:szCs w:val="22"/>
            </w:rPr>
            <w:tab/>
          </w:r>
          <w:r>
            <w:rPr>
              <w:rStyle w:val="22"/>
              <w:rFonts w:hint="eastAsia"/>
            </w:rPr>
            <w:t>科研</w:t>
          </w:r>
          <w:r>
            <w:tab/>
          </w:r>
          <w:r>
            <w:fldChar w:fldCharType="begin"/>
          </w:r>
          <w:r>
            <w:instrText xml:space="preserve"> PAGEREF _Toc519069705 \h </w:instrText>
          </w:r>
          <w:r>
            <w:fldChar w:fldCharType="separate"/>
          </w:r>
          <w:r>
            <w:t>22</w:t>
          </w:r>
          <w:r>
            <w:fldChar w:fldCharType="end"/>
          </w:r>
          <w:r>
            <w:fldChar w:fldCharType="end"/>
          </w:r>
        </w:p>
        <w:p>
          <w:pPr>
            <w:pStyle w:val="12"/>
            <w:tabs>
              <w:tab w:val="right" w:leader="dot" w:pos="9016"/>
            </w:tabs>
            <w:ind w:firstLine="0"/>
            <w:rPr>
              <w:rStyle w:val="22"/>
            </w:rPr>
          </w:pPr>
        </w:p>
        <w:p>
          <w:pPr>
            <w:pStyle w:val="12"/>
            <w:tabs>
              <w:tab w:val="right" w:leader="dot" w:pos="9016"/>
            </w:tabs>
            <w:rPr>
              <w:rFonts w:asciiTheme="minorHAnsi" w:hAnsiTheme="minorHAnsi" w:eastAsiaTheme="minorEastAsia"/>
              <w:szCs w:val="22"/>
            </w:rPr>
          </w:pPr>
          <w:r>
            <w:fldChar w:fldCharType="begin"/>
          </w:r>
          <w:r>
            <w:instrText xml:space="preserve"> HYPERLINK \l "_Toc519069706" </w:instrText>
          </w:r>
          <w:r>
            <w:fldChar w:fldCharType="separate"/>
          </w:r>
          <w:r>
            <w:rPr>
              <w:rStyle w:val="22"/>
              <w:rFonts w:hint="eastAsia"/>
              <w:b/>
            </w:rPr>
            <w:t>整体测评</w:t>
          </w:r>
          <w:r>
            <w:tab/>
          </w:r>
          <w:r>
            <w:fldChar w:fldCharType="begin"/>
          </w:r>
          <w:r>
            <w:instrText xml:space="preserve"> PAGEREF _Toc519069706 \h </w:instrText>
          </w:r>
          <w:r>
            <w:fldChar w:fldCharType="separate"/>
          </w:r>
          <w:r>
            <w:t>23</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"_Toc519069707" </w:instrText>
          </w:r>
          <w:r>
            <w:fldChar w:fldCharType="separate"/>
          </w:r>
          <w:r>
            <w:rPr>
              <w:rStyle w:val="22"/>
              <w:rFonts w:hint="eastAsia"/>
              <w14:scene3d w14:prst="orthographicFront">
                <w14:lightRig w14:rig="threePt" w14:dir="t">
                  <w14:rot w14:lat="0" w14:lon="0" w14:rev="0"/>
                </w14:lightRig>
              </w14:scene3d>
            </w:rPr>
            <w:t>一．</w:t>
          </w:r>
          <w:r>
            <w:rPr>
              <w:rFonts w:asciiTheme="minorHAnsi" w:hAnsiTheme="minorHAnsi" w:eastAsiaTheme="minorEastAsia"/>
              <w:szCs w:val="22"/>
            </w:rPr>
            <w:tab/>
          </w:r>
          <w:r>
            <w:rPr>
              <w:rStyle w:val="22"/>
              <w:rFonts w:hint="eastAsia"/>
            </w:rPr>
            <w:t>评分标准</w:t>
          </w:r>
          <w:r>
            <w:tab/>
          </w:r>
          <w:r>
            <w:fldChar w:fldCharType="begin"/>
          </w:r>
          <w:r>
            <w:instrText xml:space="preserve"> PAGEREF _Toc519069707 \h </w:instrText>
          </w:r>
          <w:r>
            <w:fldChar w:fldCharType="separate"/>
          </w:r>
          <w:r>
            <w:t>23</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"_Toc519069708" </w:instrText>
          </w:r>
          <w:r>
            <w:fldChar w:fldCharType="separate"/>
          </w:r>
          <w:r>
            <w:rPr>
              <w:rStyle w:val="22"/>
              <w:rFonts w:hint="eastAsia"/>
              <w14:scene3d w14:prst="orthographicFront">
                <w14:lightRig w14:rig="threePt" w14:dir="t">
                  <w14:rot w14:lat="0" w14:lon="0" w14:rev="0"/>
                </w14:lightRig>
              </w14:scene3d>
            </w:rPr>
            <w:t>二．</w:t>
          </w:r>
          <w:r>
            <w:rPr>
              <w:rFonts w:asciiTheme="minorHAnsi" w:hAnsiTheme="minorHAnsi" w:eastAsiaTheme="minorEastAsia"/>
              <w:szCs w:val="22"/>
            </w:rPr>
            <w:tab/>
          </w:r>
          <w:r>
            <w:rPr>
              <w:rStyle w:val="22"/>
              <w:rFonts w:hint="eastAsia"/>
            </w:rPr>
            <w:t>测评结果</w:t>
          </w:r>
          <w:r>
            <w:tab/>
          </w:r>
          <w:r>
            <w:fldChar w:fldCharType="begin"/>
          </w:r>
          <w:r>
            <w:instrText xml:space="preserve"> PAGEREF _Toc519069708 \h </w:instrText>
          </w:r>
          <w:r>
            <w:fldChar w:fldCharType="separate"/>
          </w:r>
          <w:r>
            <w:t>23</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"_Toc519069709" </w:instrText>
          </w:r>
          <w:r>
            <w:fldChar w:fldCharType="separate"/>
          </w:r>
          <w:r>
            <w:rPr>
              <w:rStyle w:val="22"/>
              <w:rFonts w:hint="eastAsia"/>
              <w:b/>
            </w:rPr>
            <w:t>讨论与总结</w:t>
          </w:r>
          <w:r>
            <w:tab/>
          </w:r>
          <w:r>
            <w:fldChar w:fldCharType="begin"/>
          </w:r>
          <w:r>
            <w:instrText xml:space="preserve"> PAGEREF _Toc519069709 \h </w:instrText>
          </w:r>
          <w:r>
            <w:fldChar w:fldCharType="separate"/>
          </w:r>
          <w:r>
            <w:t>27</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"_Toc519069710" </w:instrText>
          </w:r>
          <w:r>
            <w:fldChar w:fldCharType="separate"/>
          </w:r>
          <w:r>
            <w:rPr>
              <w:rStyle w:val="22"/>
              <w:rFonts w:hint="eastAsia"/>
              <w14:scene3d w14:prst="orthographicFront">
                <w14:lightRig w14:rig="threePt" w14:dir="t">
                  <w14:rot w14:lat="0" w14:lon="0" w14:rev="0"/>
                </w14:lightRig>
              </w14:scene3d>
            </w:rPr>
            <w:t>一．</w:t>
          </w:r>
          <w:r>
            <w:rPr>
              <w:rFonts w:asciiTheme="minorHAnsi" w:hAnsiTheme="minorHAnsi" w:eastAsiaTheme="minorEastAsia"/>
              <w:szCs w:val="22"/>
            </w:rPr>
            <w:tab/>
          </w:r>
          <w:r>
            <w:rPr>
              <w:rStyle w:val="22"/>
              <w:rFonts w:hint="eastAsia"/>
            </w:rPr>
            <w:t>现状分析与讨论</w:t>
          </w:r>
          <w:r>
            <w:tab/>
          </w:r>
          <w:r>
            <w:fldChar w:fldCharType="begin"/>
          </w:r>
          <w:r>
            <w:instrText xml:space="preserve"> PAGEREF _Toc519069710 \h </w:instrText>
          </w:r>
          <w:r>
            <w:fldChar w:fldCharType="separate"/>
          </w:r>
          <w:r>
            <w:t>27</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"_Toc519069711" </w:instrText>
          </w:r>
          <w:r>
            <w:fldChar w:fldCharType="separate"/>
          </w:r>
          <w:r>
            <w:rPr>
              <w:rStyle w:val="22"/>
            </w:rPr>
            <w:t>1.</w:t>
          </w:r>
          <w:r>
            <w:rPr>
              <w:rFonts w:asciiTheme="minorHAnsi" w:hAnsiTheme="minorHAnsi" w:eastAsiaTheme="minorEastAsia"/>
              <w:szCs w:val="22"/>
            </w:rPr>
            <w:tab/>
          </w:r>
          <w:r>
            <w:rPr>
              <w:rStyle w:val="22"/>
              <w:rFonts w:hint="eastAsia"/>
            </w:rPr>
            <w:t>真菌检测室硬件水平</w:t>
          </w:r>
          <w:r>
            <w:tab/>
          </w:r>
          <w:r>
            <w:fldChar w:fldCharType="begin"/>
          </w:r>
          <w:r>
            <w:instrText xml:space="preserve"> PAGEREF _Toc519069711 \h </w:instrText>
          </w:r>
          <w:r>
            <w:fldChar w:fldCharType="separate"/>
          </w:r>
          <w:r>
            <w:t>27</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"_Toc519069712" </w:instrText>
          </w:r>
          <w:r>
            <w:fldChar w:fldCharType="separate"/>
          </w:r>
          <w:r>
            <w:rPr>
              <w:rStyle w:val="22"/>
            </w:rPr>
            <w:t>2.</w:t>
          </w:r>
          <w:r>
            <w:rPr>
              <w:rFonts w:asciiTheme="minorHAnsi" w:hAnsiTheme="minorHAnsi" w:eastAsiaTheme="minorEastAsia"/>
              <w:szCs w:val="22"/>
            </w:rPr>
            <w:tab/>
          </w:r>
          <w:r>
            <w:rPr>
              <w:rStyle w:val="22"/>
              <w:rFonts w:hint="eastAsia"/>
            </w:rPr>
            <w:t>真菌检测人员配备情况</w:t>
          </w:r>
          <w:r>
            <w:tab/>
          </w:r>
          <w:r>
            <w:fldChar w:fldCharType="begin"/>
          </w:r>
          <w:r>
            <w:instrText xml:space="preserve"> PAGEREF _Toc519069712 \h </w:instrText>
          </w:r>
          <w:r>
            <w:fldChar w:fldCharType="separate"/>
          </w:r>
          <w:r>
            <w:t>27</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"_Toc519069713" </w:instrText>
          </w:r>
          <w:r>
            <w:fldChar w:fldCharType="separate"/>
          </w:r>
          <w:r>
            <w:rPr>
              <w:rStyle w:val="22"/>
            </w:rPr>
            <w:t>3.</w:t>
          </w:r>
          <w:r>
            <w:rPr>
              <w:rFonts w:asciiTheme="minorHAnsi" w:hAnsiTheme="minorHAnsi" w:eastAsiaTheme="minorEastAsia"/>
              <w:szCs w:val="22"/>
            </w:rPr>
            <w:tab/>
          </w:r>
          <w:r>
            <w:rPr>
              <w:rStyle w:val="22"/>
              <w:rFonts w:hint="eastAsia"/>
            </w:rPr>
            <w:t>真菌鉴定开展现状</w:t>
          </w:r>
          <w:r>
            <w:tab/>
          </w:r>
          <w:r>
            <w:fldChar w:fldCharType="begin"/>
          </w:r>
          <w:r>
            <w:instrText xml:space="preserve"> PAGEREF _Toc519069713 \h </w:instrText>
          </w:r>
          <w:r>
            <w:fldChar w:fldCharType="separate"/>
          </w:r>
          <w:r>
            <w:t>28</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"_Toc519069714" </w:instrText>
          </w:r>
          <w:r>
            <w:fldChar w:fldCharType="separate"/>
          </w:r>
          <w:r>
            <w:rPr>
              <w:rStyle w:val="22"/>
            </w:rPr>
            <w:t>4.</w:t>
          </w:r>
          <w:r>
            <w:rPr>
              <w:rFonts w:asciiTheme="minorHAnsi" w:hAnsiTheme="minorHAnsi" w:eastAsiaTheme="minorEastAsia"/>
              <w:szCs w:val="22"/>
            </w:rPr>
            <w:tab/>
          </w:r>
          <w:r>
            <w:rPr>
              <w:rStyle w:val="22"/>
              <w:rFonts w:hint="eastAsia"/>
            </w:rPr>
            <w:t>涂片镜检开展现状</w:t>
          </w:r>
          <w:r>
            <w:tab/>
          </w:r>
          <w:r>
            <w:fldChar w:fldCharType="begin"/>
          </w:r>
          <w:r>
            <w:instrText xml:space="preserve"> PAGEREF _Toc519069714 \h </w:instrText>
          </w:r>
          <w:r>
            <w:fldChar w:fldCharType="separate"/>
          </w:r>
          <w:r>
            <w:t>29</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"_Toc519069715" </w:instrText>
          </w:r>
          <w:r>
            <w:fldChar w:fldCharType="separate"/>
          </w:r>
          <w:r>
            <w:rPr>
              <w:rStyle w:val="22"/>
            </w:rPr>
            <w:t>5.</w:t>
          </w:r>
          <w:r>
            <w:rPr>
              <w:rFonts w:asciiTheme="minorHAnsi" w:hAnsiTheme="minorHAnsi" w:eastAsiaTheme="minorEastAsia"/>
              <w:szCs w:val="22"/>
            </w:rPr>
            <w:tab/>
          </w:r>
          <w:r>
            <w:rPr>
              <w:rStyle w:val="22"/>
              <w:rFonts w:hint="eastAsia"/>
            </w:rPr>
            <w:t>药敏试验开展现状</w:t>
          </w:r>
          <w:r>
            <w:tab/>
          </w:r>
          <w:r>
            <w:fldChar w:fldCharType="begin"/>
          </w:r>
          <w:r>
            <w:instrText xml:space="preserve"> PAGEREF _Toc519069715 \h </w:instrText>
          </w:r>
          <w:r>
            <w:fldChar w:fldCharType="separate"/>
          </w:r>
          <w:r>
            <w:t>29</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"_Toc519069716" </w:instrText>
          </w:r>
          <w:r>
            <w:fldChar w:fldCharType="separate"/>
          </w:r>
          <w:r>
            <w:rPr>
              <w:rStyle w:val="22"/>
            </w:rPr>
            <w:t>6.</w:t>
          </w:r>
          <w:r>
            <w:rPr>
              <w:rFonts w:asciiTheme="minorHAnsi" w:hAnsiTheme="minorHAnsi" w:eastAsiaTheme="minorEastAsia"/>
              <w:szCs w:val="22"/>
            </w:rPr>
            <w:tab/>
          </w:r>
          <w:r>
            <w:rPr>
              <w:rStyle w:val="22"/>
              <w:rFonts w:hint="eastAsia"/>
            </w:rPr>
            <w:t>血清学检测开展现状</w:t>
          </w:r>
          <w:r>
            <w:tab/>
          </w:r>
          <w:r>
            <w:fldChar w:fldCharType="begin"/>
          </w:r>
          <w:r>
            <w:instrText xml:space="preserve"> PAGEREF _Toc519069716 \h </w:instrText>
          </w:r>
          <w:r>
            <w:fldChar w:fldCharType="separate"/>
          </w:r>
          <w:r>
            <w:t>30</w:t>
          </w:r>
          <w:r>
            <w:fldChar w:fldCharType="end"/>
          </w:r>
          <w:r>
            <w:fldChar w:fldCharType="end"/>
          </w:r>
        </w:p>
        <w:p>
          <w:pPr>
            <w:pStyle w:val="8"/>
            <w:tabs>
              <w:tab w:val="left" w:pos="1320"/>
              <w:tab w:val="right" w:leader="dot" w:pos="9016"/>
            </w:tabs>
            <w:rPr>
              <w:rFonts w:asciiTheme="minorHAnsi" w:hAnsiTheme="minorHAnsi" w:eastAsiaTheme="minorEastAsia"/>
              <w:szCs w:val="22"/>
            </w:rPr>
          </w:pPr>
          <w:r>
            <w:fldChar w:fldCharType="begin"/>
          </w:r>
          <w:r>
            <w:instrText xml:space="preserve"> HYPERLINK \l "_Toc519069717" </w:instrText>
          </w:r>
          <w:r>
            <w:fldChar w:fldCharType="separate"/>
          </w:r>
          <w:r>
            <w:rPr>
              <w:rStyle w:val="22"/>
            </w:rPr>
            <w:t>7.</w:t>
          </w:r>
          <w:r>
            <w:rPr>
              <w:rFonts w:asciiTheme="minorHAnsi" w:hAnsiTheme="minorHAnsi" w:eastAsiaTheme="minorEastAsia"/>
              <w:szCs w:val="22"/>
            </w:rPr>
            <w:tab/>
          </w:r>
          <w:r>
            <w:rPr>
              <w:rStyle w:val="22"/>
              <w:rFonts w:hint="eastAsia"/>
            </w:rPr>
            <w:t>室间质评参与现状</w:t>
          </w:r>
          <w:r>
            <w:tab/>
          </w:r>
          <w:r>
            <w:fldChar w:fldCharType="begin"/>
          </w:r>
          <w:r>
            <w:instrText xml:space="preserve"> PAGEREF _Toc519069717 \h </w:instrText>
          </w:r>
          <w:r>
            <w:fldChar w:fldCharType="separate"/>
          </w:r>
          <w:r>
            <w:t>31</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"_Toc519069718" </w:instrText>
          </w:r>
          <w:r>
            <w:fldChar w:fldCharType="separate"/>
          </w:r>
          <w:r>
            <w:rPr>
              <w:rStyle w:val="22"/>
              <w:rFonts w:hint="eastAsia"/>
              <w14:scene3d w14:prst="orthographicFront">
                <w14:lightRig w14:rig="threePt" w14:dir="t">
                  <w14:rot w14:lat="0" w14:lon="0" w14:rev="0"/>
                </w14:lightRig>
              </w14:scene3d>
            </w:rPr>
            <w:t>二．</w:t>
          </w:r>
          <w:r>
            <w:rPr>
              <w:rFonts w:asciiTheme="minorHAnsi" w:hAnsiTheme="minorHAnsi" w:eastAsiaTheme="minorEastAsia"/>
              <w:szCs w:val="22"/>
            </w:rPr>
            <w:tab/>
          </w:r>
          <w:r>
            <w:rPr>
              <w:rStyle w:val="22"/>
              <w:rFonts w:hint="eastAsia"/>
            </w:rPr>
            <w:t>总结与建议</w:t>
          </w:r>
          <w:r>
            <w:tab/>
          </w:r>
          <w:r>
            <w:fldChar w:fldCharType="begin"/>
          </w:r>
          <w:r>
            <w:instrText xml:space="preserve"> PAGEREF _Toc519069718 \h </w:instrText>
          </w:r>
          <w:r>
            <w:fldChar w:fldCharType="separate"/>
          </w:r>
          <w:r>
            <w:t>32</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"_Toc519069719" </w:instrText>
          </w:r>
          <w:r>
            <w:fldChar w:fldCharType="separate"/>
          </w:r>
          <w:r>
            <w:rPr>
              <w:rStyle w:val="22"/>
              <w:rFonts w:hint="eastAsia"/>
              <w:b/>
            </w:rPr>
            <w:t>结束语</w:t>
          </w:r>
          <w:r>
            <w:tab/>
          </w:r>
          <w:r>
            <w:fldChar w:fldCharType="begin"/>
          </w:r>
          <w:r>
            <w:instrText xml:space="preserve"> PAGEREF _Toc519069719 \h </w:instrText>
          </w:r>
          <w:r>
            <w:fldChar w:fldCharType="separate"/>
          </w:r>
          <w:r>
            <w:t>33</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"_Toc519069720" </w:instrText>
          </w:r>
          <w:r>
            <w:fldChar w:fldCharType="separate"/>
          </w:r>
          <w:r>
            <w:rPr>
              <w:rStyle w:val="22"/>
              <w:rFonts w:hint="eastAsia"/>
              <w:b/>
            </w:rPr>
            <w:t>参考文献</w:t>
          </w:r>
          <w:r>
            <w:tab/>
          </w:r>
          <w:r>
            <w:fldChar w:fldCharType="begin"/>
          </w:r>
          <w:r>
            <w:instrText xml:space="preserve"> PAGEREF _Toc519069720 \h </w:instrText>
          </w:r>
          <w:r>
            <w:fldChar w:fldCharType="separate"/>
          </w:r>
          <w:r>
            <w:t>34</w:t>
          </w:r>
          <w:r>
            <w:fldChar w:fldCharType="end"/>
          </w:r>
          <w:r>
            <w:fldChar w:fldCharType="end"/>
          </w:r>
        </w:p>
        <w:p>
          <w:pPr>
            <w:pStyle w:val="12"/>
            <w:tabs>
              <w:tab w:val="right" w:leader="dot" w:pos="9016"/>
            </w:tabs>
            <w:spacing w:before="240"/>
            <w:rPr>
              <w:rFonts w:asciiTheme="minorHAnsi" w:hAnsiTheme="minorHAnsi" w:eastAsiaTheme="minorEastAsia"/>
              <w:szCs w:val="22"/>
            </w:rPr>
          </w:pPr>
          <w:r>
            <w:fldChar w:fldCharType="begin"/>
          </w:r>
          <w:r>
            <w:instrText xml:space="preserve"> HYPERLINK \l "_Toc519069721" </w:instrText>
          </w:r>
          <w:r>
            <w:fldChar w:fldCharType="separate"/>
          </w:r>
          <w:r>
            <w:rPr>
              <w:rStyle w:val="22"/>
              <w:rFonts w:hint="eastAsia"/>
              <w:b/>
            </w:rPr>
            <w:t>附录</w:t>
          </w:r>
          <w:r>
            <w:tab/>
          </w:r>
          <w:r>
            <w:fldChar w:fldCharType="begin"/>
          </w:r>
          <w:r>
            <w:instrText xml:space="preserve"> PAGEREF _Toc519069721 \h </w:instrText>
          </w:r>
          <w:r>
            <w:fldChar w:fldCharType="separate"/>
          </w:r>
          <w:r>
            <w:t>36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"_Toc519069722" </w:instrText>
          </w:r>
          <w:r>
            <w:fldChar w:fldCharType="separate"/>
          </w:r>
          <w:r>
            <w:rPr>
              <w:rStyle w:val="22"/>
              <w:rFonts w:hint="eastAsia"/>
              <w14:scene3d w14:prst="orthographicFront">
                <w14:lightRig w14:rig="threePt" w14:dir="t">
                  <w14:rot w14:lat="0" w14:lon="0" w14:rev="0"/>
                </w14:lightRig>
              </w14:scene3d>
            </w:rPr>
            <w:t>一．</w:t>
          </w:r>
          <w:r>
            <w:rPr>
              <w:rFonts w:asciiTheme="minorHAnsi" w:hAnsiTheme="minorHAnsi" w:eastAsiaTheme="minorEastAsia"/>
              <w:szCs w:val="22"/>
            </w:rPr>
            <w:tab/>
          </w:r>
          <w:r>
            <w:rPr>
              <w:rStyle w:val="22"/>
              <w:rFonts w:hint="eastAsia"/>
            </w:rPr>
            <w:t>调查问卷</w:t>
          </w:r>
          <w:r>
            <w:tab/>
          </w:r>
          <w:r>
            <w:fldChar w:fldCharType="begin"/>
          </w:r>
          <w:r>
            <w:instrText xml:space="preserve"> PAGEREF _Toc519069722 \h </w:instrText>
          </w:r>
          <w:r>
            <w:fldChar w:fldCharType="separate"/>
          </w:r>
          <w:r>
            <w:t>36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"_Toc519069723" </w:instrText>
          </w:r>
          <w:r>
            <w:fldChar w:fldCharType="separate"/>
          </w:r>
          <w:r>
            <w:rPr>
              <w:rStyle w:val="22"/>
              <w:rFonts w:hint="eastAsia"/>
              <w14:scene3d w14:prst="orthographicFront">
                <w14:lightRig w14:rig="threePt" w14:dir="t">
                  <w14:rot w14:lat="0" w14:lon="0" w14:rev="0"/>
                </w14:lightRig>
              </w14:scene3d>
            </w:rPr>
            <w:t>二．</w:t>
          </w:r>
          <w:r>
            <w:rPr>
              <w:rFonts w:asciiTheme="minorHAnsi" w:hAnsiTheme="minorHAnsi" w:eastAsiaTheme="minorEastAsia"/>
              <w:szCs w:val="22"/>
            </w:rPr>
            <w:tab/>
          </w:r>
          <w:r>
            <w:rPr>
              <w:rStyle w:val="22"/>
              <w:rFonts w:hint="eastAsia"/>
            </w:rPr>
            <w:t>各省排名前</w:t>
          </w:r>
          <w:r>
            <w:rPr>
              <w:rStyle w:val="22"/>
              <w:rFonts w:cs="Arial"/>
            </w:rPr>
            <w:t>3</w:t>
          </w:r>
          <w:r>
            <w:rPr>
              <w:rStyle w:val="22"/>
              <w:rFonts w:hint="eastAsia"/>
            </w:rPr>
            <w:t>名的医院列表（仅限参与调研的</w:t>
          </w:r>
          <w:r>
            <w:rPr>
              <w:rStyle w:val="22"/>
              <w:rFonts w:cs="Arial"/>
            </w:rPr>
            <w:t>348</w:t>
          </w:r>
          <w:r>
            <w:rPr>
              <w:rStyle w:val="22"/>
              <w:rFonts w:hint="eastAsia"/>
            </w:rPr>
            <w:t>家医院）</w:t>
          </w:r>
          <w:r>
            <w:tab/>
          </w:r>
          <w:r>
            <w:fldChar w:fldCharType="begin"/>
          </w:r>
          <w:r>
            <w:instrText xml:space="preserve"> PAGEREF _Toc519069723 \h </w:instrText>
          </w:r>
          <w:r>
            <w:fldChar w:fldCharType="separate"/>
          </w:r>
          <w:r>
            <w:t>46</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"_Toc519069724" </w:instrText>
          </w:r>
          <w:r>
            <w:fldChar w:fldCharType="separate"/>
          </w:r>
          <w:r>
            <w:rPr>
              <w:rStyle w:val="22"/>
              <w:rFonts w:hint="eastAsia"/>
              <w14:scene3d w14:prst="orthographicFront">
                <w14:lightRig w14:rig="threePt" w14:dir="t">
                  <w14:rot w14:lat="0" w14:lon="0" w14:rev="0"/>
                </w14:lightRig>
              </w14:scene3d>
            </w:rPr>
            <w:t>三．</w:t>
          </w:r>
          <w:r>
            <w:rPr>
              <w:rFonts w:asciiTheme="minorHAnsi" w:hAnsiTheme="minorHAnsi" w:eastAsiaTheme="minorEastAsia"/>
              <w:szCs w:val="22"/>
            </w:rPr>
            <w:tab/>
          </w:r>
          <w:r>
            <w:rPr>
              <w:rStyle w:val="22"/>
              <w:rFonts w:hint="eastAsia"/>
            </w:rPr>
            <w:t>各省可在本院开展丝状菌药敏试验的医院名单</w:t>
          </w:r>
          <w:r>
            <w:tab/>
          </w:r>
          <w:r>
            <w:fldChar w:fldCharType="begin"/>
          </w:r>
          <w:r>
            <w:instrText xml:space="preserve"> PAGEREF _Toc519069724 \h </w:instrText>
          </w:r>
          <w:r>
            <w:fldChar w:fldCharType="separate"/>
          </w:r>
          <w:r>
            <w:t>49</w:t>
          </w:r>
          <w:r>
            <w:fldChar w:fldCharType="end"/>
          </w:r>
          <w:r>
            <w:fldChar w:fldCharType="end"/>
          </w:r>
        </w:p>
        <w:p>
          <w:pPr>
            <w:pStyle w:val="15"/>
            <w:tabs>
              <w:tab w:val="left" w:pos="1320"/>
              <w:tab w:val="right" w:leader="dot" w:pos="9016"/>
            </w:tabs>
            <w:rPr>
              <w:rFonts w:asciiTheme="minorHAnsi" w:hAnsiTheme="minorHAnsi" w:eastAsiaTheme="minorEastAsia"/>
              <w:szCs w:val="22"/>
            </w:rPr>
          </w:pPr>
          <w:r>
            <w:fldChar w:fldCharType="begin"/>
          </w:r>
          <w:r>
            <w:instrText xml:space="preserve"> HYPERLINK \l "_Toc519069725" </w:instrText>
          </w:r>
          <w:r>
            <w:fldChar w:fldCharType="separate"/>
          </w:r>
          <w:r>
            <w:rPr>
              <w:rStyle w:val="22"/>
              <w:rFonts w:hint="eastAsia"/>
              <w14:scene3d w14:prst="orthographicFront">
                <w14:lightRig w14:rig="threePt" w14:dir="t">
                  <w14:rot w14:lat="0" w14:lon="0" w14:rev="0"/>
                </w14:lightRig>
              </w14:scene3d>
            </w:rPr>
            <w:t>四．</w:t>
          </w:r>
          <w:r>
            <w:rPr>
              <w:rFonts w:asciiTheme="minorHAnsi" w:hAnsiTheme="minorHAnsi" w:eastAsiaTheme="minorEastAsia"/>
              <w:szCs w:val="22"/>
            </w:rPr>
            <w:tab/>
          </w:r>
          <w:r>
            <w:rPr>
              <w:rStyle w:val="22"/>
              <w:rFonts w:hint="eastAsia"/>
            </w:rPr>
            <w:t>各省可在本院开展</w:t>
          </w:r>
          <w:r>
            <w:rPr>
              <w:rStyle w:val="22"/>
              <w:rFonts w:cs="Arial"/>
            </w:rPr>
            <w:t>MALDI-TOF</w:t>
          </w:r>
          <w:r>
            <w:rPr>
              <w:rStyle w:val="22"/>
              <w:rFonts w:hint="eastAsia" w:cs="Arial"/>
            </w:rPr>
            <w:t>或测序</w:t>
          </w:r>
          <w:r>
            <w:rPr>
              <w:rStyle w:val="22"/>
              <w:rFonts w:hint="eastAsia"/>
            </w:rPr>
            <w:t>进行真菌鉴定的医院名单</w:t>
          </w:r>
          <w:r>
            <w:tab/>
          </w:r>
          <w:r>
            <w:fldChar w:fldCharType="begin"/>
          </w:r>
          <w:r>
            <w:instrText xml:space="preserve"> PAGEREF _Toc519069725 \h </w:instrText>
          </w:r>
          <w:r>
            <w:fldChar w:fldCharType="separate"/>
          </w:r>
          <w:r>
            <w:t>51</w:t>
          </w:r>
          <w:r>
            <w:fldChar w:fldCharType="end"/>
          </w:r>
          <w:r>
            <w:fldChar w:fldCharType="end"/>
          </w:r>
        </w:p>
        <w:p>
          <w:r>
            <w:fldChar w:fldCharType="end"/>
          </w:r>
        </w:p>
      </w:sdtContent>
    </w:sdt>
    <w:p>
      <w:r>
        <w:br w:type="page"/>
      </w:r>
    </w:p>
    <w:p>
      <w:pPr>
        <w:pStyle w:val="2"/>
      </w:pPr>
      <w:bookmarkStart w:id="2" w:name="_Toc519069676"/>
      <w:r>
        <w:rPr>
          <w:rFonts w:hint="eastAsia"/>
        </w:rPr>
        <w:t>执行摘要</w:t>
      </w:r>
      <w:bookmarkEnd w:id="2"/>
    </w:p>
    <w:p>
      <w:pPr>
        <w:ind w:firstLine="0"/>
      </w:pPr>
      <w:r>
        <w:rPr>
          <w:rFonts w:cs="Arial"/>
          <w:highlight w:val="yellow"/>
        </w:rPr>
        <w:t>[</w:t>
      </w:r>
      <w:r>
        <w:rPr>
          <w:rFonts w:hint="eastAsia" w:cs="Arial"/>
          <w:highlight w:val="yellow"/>
        </w:rPr>
        <w:t>将在下一稿中更新</w:t>
      </w:r>
      <w:r>
        <w:rPr>
          <w:rFonts w:cs="Arial"/>
          <w:highlight w:val="yellow"/>
        </w:rPr>
        <w:t>]</w:t>
      </w:r>
      <w:r>
        <w:br w:type="page"/>
      </w:r>
    </w:p>
    <w:p>
      <w:pPr>
        <w:pStyle w:val="2"/>
      </w:pPr>
      <w:bookmarkStart w:id="3" w:name="_Toc519069677"/>
      <w:r>
        <w:rPr>
          <w:rFonts w:hint="eastAsia"/>
        </w:rPr>
        <w:t>前言</w:t>
      </w:r>
      <w:bookmarkEnd w:id="3"/>
    </w:p>
    <w:p>
      <w:r>
        <w:rPr>
          <w:rFonts w:hint="eastAsia"/>
        </w:rPr>
        <w:t xml:space="preserve">近年来，我国真菌感染的发病率呈逐年上升趋势，尤其是侵袭性真菌感染，已成为威胁生命健康的重要疾病之一 </w:t>
      </w:r>
      <w:r>
        <w:fldChar w:fldCharType="begin">
          <w:fldData xml:space="preserve">PEVuZE5vdGU+PENpdGU+PEF1dGhvcj5DaGVuPC9BdXRob3I+PFllYXI+MjAxODwvWWVhcj48UmVj
TnVtPjEwPC9SZWNOdW0+PERpc3BsYXlUZXh0PlsxXTwvRGlzcGxheVRleHQ+PHJlY29yZD48cmVj
LW51bWJlcj4xMDwvcmVjLW51bWJlcj48Zm9yZWlnbi1rZXlzPjxrZXkgYXBwPSJFTiIgZGItaWQ9
Indwc3c1cDVwYXJ3ZDk5ZTV6MnNwMDVhbGY5eDV2ejl6NTIwcyIgdGltZXN0YW1wPSIxNTMwMDA5
MjIxIj4xMDwva2V5PjxrZXkgYXBwPSJFTldlYiIgZGItaWQ9IiI+MDwva2V5PjwvZm9yZWlnbi1r
ZXlzPjxyZWYtdHlwZSBuYW1lPSJKb3VybmFsIEFydGljbGUiPjE3PC9yZWYtdHlwZT48Y29udHJp
YnV0b3JzPjxhdXRob3JzPjxhdXRob3I+Q2hlbiwgTS48L2F1dGhvcj48YXV0aG9yPlh1LCBZLjwv
YXV0aG9yPjxhdXRob3I+SG9uZywgTi48L2F1dGhvcj48YXV0aG9yPllhbmcsIFkuPC9hdXRob3I+
PGF1dGhvcj5MZWksIFcuPC9hdXRob3I+PGF1dGhvcj5EdSwgTC48L2F1dGhvcj48YXV0aG9yPlpo
YW8sIEouPC9hdXRob3I+PGF1dGhvcj5MZWksIFguPC9hdXRob3I+PGF1dGhvcj5YaW9uZywgTC48
L2F1dGhvcj48YXV0aG9yPkNhaSwgTC48L2F1dGhvcj48YXV0aG9yPlh1LCBILjwvYXV0aG9yPjxh
dXRob3I+UGFuLCBXLjwvYXV0aG9yPjxhdXRob3I+TGlhbywgVy48L2F1dGhvcj48L2F1dGhvcnM+
PC9jb250cmlidXRvcnM+PGF1dGgtYWRkcmVzcz5EZXBhcnRtZW50IG9mIERlcm1hdG9sb2d5LCBD
aGFuZ3poZW5nIEhvc3BpdGFsLCBTZWNvbmQgTWlsaXRhcnkgTWVkaWNhbCBVbml2ZXJzaXR5LCBT
aGFuZ2hhaSwgMjAwMDAzLCBDaGluYS4mI3hEO1NoYW5naGFpIEtleSBMYWJvcmF0b3J5IG9mIE1v
bGVjdWxhciBNZWRpY2FsIE15Y29sb2d5LCBDaGFuZ3poZW5nIEhvc3BpdGFsLCBTZWNvbmQgTWls
aXRhcnkgTWVkaWNhbCBVbml2ZXJzaXR5LCBTaGFuZ2hhaSwgMjAwMDAzLCBDaGluYS4mI3hEO0Rl
cGFydG1lbnQgb2YgRGVybWF0b2xvZ3ksIFRvbmdqaSBIb3NwaXRhbCwgVG9uZ2ppIFVuaXZlcnNp
dHksIFNoYW5naGFpLCAyMDA0NDIsIENoaW5hLiYjeEQ7RGVwYXJ0bWVudCBvZiBEZXJtYXRvbG9n
eSwgRGFwaW5nIEhvc3BpdGFsLCBUaGlyZCBNaWxpdGFyeSBNZWRpY2FsIFVuaXZlcnNpdHksIENo
b25ncWluZywgNDAwMDQyLCBDaGluYS4mI3hEO0RlcGFydG1lbnQgb2YgRGVybWF0b2xvZ3ksIHRo
ZSBQZW9wbGUmYXBvcztzIEhvc3BpdGFsIG9mIFlhbiZhcG9zO2FuLCBZYW4mYXBvczthbiwgNzE2
MDAwLCBDaGluYS4mI3hEO0RlcGFydG1lbnQgb2YgRGVybWF0b2xvZ3ksIHRoZSBGaXJzdCBBZmZp
bGlhdGVkIEhvc3BpdGFsIG9mIFhpYW1lbiBVbml2ZXJzaXR5LCBYaWFtZW4sIDM2MTAwMywgQ2hp
bmEuJiN4RDtEZXBhcnRtZW50IG9mIERlcm1hdG9sb2d5LCBTaGFuZ2hhaSBOaW50aCBQZW9wbGUm
YXBvcztzIEhvc3BpdGFsLCBTaGFuZ2hhaSBKaWFvIFRvbmcgVW5pdmVyc2l0eSBTY2hvb2wgb2Yg
TWVkaWNpbmUsIFNoYW5naGFpLCAyMDAwMTEsIENoaW5hLiYjeEQ7RGVwYXJ0bWVudCBvZiBEZXJt
YXRvbG9neSwgQ2hhbmd6aGVuZyBIb3NwaXRhbCwgU2Vjb25kIE1pbGl0YXJ5IE1lZGljYWwgVW5p
dmVyc2l0eSwgU2hhbmdoYWksIDIwMDAwMywgQ2hpbmEuIHBhbndlaWh1YUBtZWRtYWlsLmNvbS5j
bi4mI3hEO1NoYW5naGFpIEtleSBMYWJvcmF0b3J5IG9mIE1vbGVjdWxhciBNZWRpY2FsIE15Y29s
b2d5LCBDaGFuZ3poZW5nIEhvc3BpdGFsLCBTZWNvbmQgTWlsaXRhcnkgTWVkaWNhbCBVbml2ZXJz
aXR5LCBTaGFuZ2hhaSwgMjAwMDAzLCBDaGluYS4gbGlhb3dhbnFpbmdAc21tdS5lZHUuY24uPC9h
dXRoLWFkZHJlc3M+PHRpdGxlcz48dGl0bGU+RXBpZGVtaW9sb2d5IG9mIGZ1bmdhbCBpbmZlY3Rp
b25zIGluIENoaW5hPC90aXRsZT48c2Vjb25kYXJ5LXRpdGxlPkZyb250IE1lZDwvc2Vjb25kYXJ5
LXRpdGxlPjwvdGl0bGVzPjxwZXJpb2RpY2FsPjxmdWxsLXRpdGxlPkZyb250IE1lZDwvZnVsbC10
aXRsZT48L3BlcmlvZGljYWw+PHBhZ2VzPjU4LTc1PC9wYWdlcz48dm9sdW1lPjEyPC92b2x1bWU+
PG51bWJlcj4xPC9udW1iZXI+PGVkaXRpb24+MjAxOC8wMS8zMTwvZWRpdGlvbj48a2V5d29yZHM+
PGtleXdvcmQ+Q2hpbmE8L2tleXdvcmQ+PGtleXdvcmQ+ZXBpZGVtaW9sb2d5PC9rZXl3b3JkPjxr
ZXl3b3JkPmZ1bmdpPC9rZXl3b3JkPjxrZXl3b3JkPmluZmVjdGlvbjwva2V5d29yZD48L2tleXdv
cmRzPjxkYXRlcz48eWVhcj4yMDE4PC95ZWFyPjxwdWItZGF0ZXM+PGRhdGU+RmViPC9kYXRlPjwv
cHViLWRhdGVzPjwvZGF0ZXM+PGlzYm4+MjA5NS0wMjI1IChFbGVjdHJvbmljKSYjeEQ7MjA5NS0w
MjE3IChMaW5raW5nKTwvaXNibj48YWNjZXNzaW9uLW51bT4yOTM4MDI5NzwvYWNjZXNzaW9uLW51
bT48dXJscz48cmVsYXRlZC11cmxzPjx1cmw+aHR0cHM6Ly93d3cubmNiaS5ubG0ubmloLmdvdi9w
dWJtZWQvMjkzODAyOTc8L3VybD48L3JlbGF0ZWQtdXJscz48L3VybHM+PGVsZWN0cm9uaWMtcmVz
b3VyY2UtbnVtPjEwLjEwMDcvczExNjg0LTAxNy0wNjAxLTA8L2VsZWN0cm9uaWMtcmVzb3VyY2Ut
bnVtPjwvcmVjb3JkPjwvQ2l0ZT48L0VuZE5vdGU+AGAA
</w:fldData>
        </w:fldChar>
      </w:r>
      <w:r>
        <w:instrText xml:space="preserve"> ADDIN EN.CITE </w:instrText>
      </w:r>
      <w:r>
        <w:fldChar w:fldCharType="begin">
          <w:fldData xml:space="preserve">PEVuZE5vdGU+PENpdGU+PEF1dGhvcj5DaGVuPC9BdXRob3I+PFllYXI+MjAxODwvWWVhcj48UmVj
TnVtPjEwPC9SZWNOdW0+PERpc3BsYXlUZXh0PlsxXTwvRGlzcGxheVRleHQ+PHJlY29yZD48cmVj
LW51bWJlcj4xMDwvcmVjLW51bWJlcj48Zm9yZWlnbi1rZXlzPjxrZXkgYXBwPSJFTiIgZGItaWQ9
Indwc3c1cDVwYXJ3ZDk5ZTV6MnNwMDVhbGY5eDV2ejl6NTIwcyIgdGltZXN0YW1wPSIxNTMwMDA5
MjIxIj4xMDwva2V5PjxrZXkgYXBwPSJFTldlYiIgZGItaWQ9IiI+MDwva2V5PjwvZm9yZWlnbi1r
ZXlzPjxyZWYtdHlwZSBuYW1lPSJKb3VybmFsIEFydGljbGUiPjE3PC9yZWYtdHlwZT48Y29udHJp
YnV0b3JzPjxhdXRob3JzPjxhdXRob3I+Q2hlbiwgTS48L2F1dGhvcj48YXV0aG9yPlh1LCBZLjwv
YXV0aG9yPjxhdXRob3I+SG9uZywgTi48L2F1dGhvcj48YXV0aG9yPllhbmcsIFkuPC9hdXRob3I+
PGF1dGhvcj5MZWksIFcuPC9hdXRob3I+PGF1dGhvcj5EdSwgTC48L2F1dGhvcj48YXV0aG9yPlpo
YW8sIEouPC9hdXRob3I+PGF1dGhvcj5MZWksIFguPC9hdXRob3I+PGF1dGhvcj5YaW9uZywgTC48
L2F1dGhvcj48YXV0aG9yPkNhaSwgTC48L2F1dGhvcj48YXV0aG9yPlh1LCBILjwvYXV0aG9yPjxh
dXRob3I+UGFuLCBXLjwvYXV0aG9yPjxhdXRob3I+TGlhbywgVy48L2F1dGhvcj48L2F1dGhvcnM+
PC9jb250cmlidXRvcnM+PGF1dGgtYWRkcmVzcz5EZXBhcnRtZW50IG9mIERlcm1hdG9sb2d5LCBD
aGFuZ3poZW5nIEhvc3BpdGFsLCBTZWNvbmQgTWlsaXRhcnkgTWVkaWNhbCBVbml2ZXJzaXR5LCBT
aGFuZ2hhaSwgMjAwMDAzLCBDaGluYS4mI3hEO1NoYW5naGFpIEtleSBMYWJvcmF0b3J5IG9mIE1v
bGVjdWxhciBNZWRpY2FsIE15Y29sb2d5LCBDaGFuZ3poZW5nIEhvc3BpdGFsLCBTZWNvbmQgTWls
aXRhcnkgTWVkaWNhbCBVbml2ZXJzaXR5LCBTaGFuZ2hhaSwgMjAwMDAzLCBDaGluYS4mI3hEO0Rl
cGFydG1lbnQgb2YgRGVybWF0b2xvZ3ksIFRvbmdqaSBIb3NwaXRhbCwgVG9uZ2ppIFVuaXZlcnNp
dHksIFNoYW5naGFpLCAyMDA0NDIsIENoaW5hLiYjeEQ7RGVwYXJ0bWVudCBvZiBEZXJtYXRvbG9n
eSwgRGFwaW5nIEhvc3BpdGFsLCBUaGlyZCBNaWxpdGFyeSBNZWRpY2FsIFVuaXZlcnNpdHksIENo
b25ncWluZywgNDAwMDQyLCBDaGluYS4mI3hEO0RlcGFydG1lbnQgb2YgRGVybWF0b2xvZ3ksIHRo
ZSBQZW9wbGUmYXBvcztzIEhvc3BpdGFsIG9mIFlhbiZhcG9zO2FuLCBZYW4mYXBvczthbiwgNzE2
MDAwLCBDaGluYS4mI3hEO0RlcGFydG1lbnQgb2YgRGVybWF0b2xvZ3ksIHRoZSBGaXJzdCBBZmZp
bGlhdGVkIEhvc3BpdGFsIG9mIFhpYW1lbiBVbml2ZXJzaXR5LCBYaWFtZW4sIDM2MTAwMywgQ2hp
bmEuJiN4RDtEZXBhcnRtZW50IG9mIERlcm1hdG9sb2d5LCBTaGFuZ2hhaSBOaW50aCBQZW9wbGUm
YXBvcztzIEhvc3BpdGFsLCBTaGFuZ2hhaSBKaWFvIFRvbmcgVW5pdmVyc2l0eSBTY2hvb2wgb2Yg
TWVkaWNpbmUsIFNoYW5naGFpLCAyMDAwMTEsIENoaW5hLiYjeEQ7RGVwYXJ0bWVudCBvZiBEZXJt
YXRvbG9neSwgQ2hhbmd6aGVuZyBIb3NwaXRhbCwgU2Vjb25kIE1pbGl0YXJ5IE1lZGljYWwgVW5p
dmVyc2l0eSwgU2hhbmdoYWksIDIwMDAwMywgQ2hpbmEuIHBhbndlaWh1YUBtZWRtYWlsLmNvbS5j
bi4mI3hEO1NoYW5naGFpIEtleSBMYWJvcmF0b3J5IG9mIE1vbGVjdWxhciBNZWRpY2FsIE15Y29s
b2d5LCBDaGFuZ3poZW5nIEhvc3BpdGFsLCBTZWNvbmQgTWlsaXRhcnkgTWVkaWNhbCBVbml2ZXJz
aXR5LCBTaGFuZ2hhaSwgMjAwMDAzLCBDaGluYS4gbGlhb3dhbnFpbmdAc21tdS5lZHUuY24uPC9h
dXRoLWFkZHJlc3M+PHRpdGxlcz48dGl0bGU+RXBpZGVtaW9sb2d5IG9mIGZ1bmdhbCBpbmZlY3Rp
b25zIGluIENoaW5hPC90aXRsZT48c2Vjb25kYXJ5LXRpdGxlPkZyb250IE1lZDwvc2Vjb25kYXJ5
LXRpdGxlPjwvdGl0bGVzPjxwZXJpb2RpY2FsPjxmdWxsLXRpdGxlPkZyb250IE1lZDwvZnVsbC10
aXRsZT48L3BlcmlvZGljYWw+PHBhZ2VzPjU4LTc1PC9wYWdlcz48dm9sdW1lPjEyPC92b2x1bWU+
PG51bWJlcj4xPC9udW1iZXI+PGVkaXRpb24+MjAxOC8wMS8zMTwvZWRpdGlvbj48a2V5d29yZHM+
PGtleXdvcmQ+Q2hpbmE8L2tleXdvcmQ+PGtleXdvcmQ+ZXBpZGVtaW9sb2d5PC9rZXl3b3JkPjxr
ZXl3b3JkPmZ1bmdpPC9rZXl3b3JkPjxrZXl3b3JkPmluZmVjdGlvbjwva2V5d29yZD48L2tleXdv
cmRzPjxkYXRlcz48eWVhcj4yMDE4PC95ZWFyPjxwdWItZGF0ZXM+PGRhdGU+RmViPC9kYXRlPjwv
cHViLWRhdGVzPjwvZGF0ZXM+PGlzYm4+MjA5NS0wMjI1IChFbGVjdHJvbmljKSYjeEQ7MjA5NS0w
MjE3IChMaW5raW5nKTwvaXNibj48YWNjZXNzaW9uLW51bT4yOTM4MDI5NzwvYWNjZXNzaW9uLW51
bT48dXJscz48cmVsYXRlZC11cmxzPjx1cmw+aHR0cHM6Ly93d3cubmNiaS5ubG0ubmloLmdvdi9w
dWJtZWQvMjkzODAyOTc8L3VybD48L3JlbGF0ZWQtdXJscz48L3VybHM+PGVsZWN0cm9uaWMtcmVz
b3VyY2UtbnVtPjEwLjEwMDcvczExNjg0LTAxNy0wNjAxLTA8L2VsZWN0cm9uaWMtcmVzb3VyY2Ut
bnVtPjwvcmVjb3JkPjwvQ2l0ZT48L0VuZE5vdGU+AGAA
</w:fldData>
        </w:fldChar>
      </w:r>
      <w:r>
        <w:instrText xml:space="preserve"> ADDIN EN.CITE.DATA </w:instrText>
      </w:r>
      <w:r>
        <w:fldChar w:fldCharType="end"/>
      </w:r>
      <w:r>
        <w:fldChar w:fldCharType="separate"/>
      </w:r>
      <w:r>
        <w:t>[1]</w:t>
      </w:r>
      <w:r>
        <w:fldChar w:fldCharType="end"/>
      </w:r>
      <w:r>
        <w:rPr>
          <w:rFonts w:hint="eastAsia"/>
        </w:rPr>
        <w:t>。因此，国家卫生计生委办公厅于2016年底发布了《关于提高二级以上综合医院细菌真菌感染诊疗能力的通知》（国卫办医函 (2016) 1281号），旨在于2020年以前加强临床细菌真菌感染诊疗体系的建设，设立区域化中心，促进抗菌药物的合理应用，维护人民群众健康。为进一步落实该通知的相关要求，国家卫计委抗耐药评价专委会于2018 年 2月23日 - 3月8日在全国二级以上综合医院内开展了“临床微生物实验室真菌检测能力基线调研”，以了解我国二级以上综合医院临床微生物实验室真菌检测能力现状和基础数据。</w:t>
      </w:r>
      <w:bookmarkStart w:id="4" w:name="OLE_LINK15"/>
    </w:p>
    <w:bookmarkEnd w:id="4"/>
    <w:p/>
    <w:p/>
    <w:p>
      <w:pPr>
        <w:pStyle w:val="2"/>
      </w:pPr>
      <w:bookmarkStart w:id="5" w:name="_Toc519069678"/>
      <w:r>
        <w:br w:type="page"/>
      </w:r>
    </w:p>
    <w:p>
      <w:pPr>
        <w:pStyle w:val="2"/>
      </w:pPr>
      <w:r>
        <w:rPr>
          <w:rFonts w:hint="eastAsia"/>
        </w:rPr>
        <w:t>调研基本信息</w:t>
      </w:r>
      <w:bookmarkEnd w:id="5"/>
    </w:p>
    <w:p>
      <w:pPr>
        <w:pStyle w:val="3"/>
      </w:pPr>
      <w:bookmarkStart w:id="6" w:name="_Toc519069679"/>
      <w:r>
        <w:t>调研目的</w:t>
      </w:r>
      <w:bookmarkEnd w:id="6"/>
    </w:p>
    <w:p>
      <w:r>
        <w:rPr>
          <w:rFonts w:hint="eastAsia"/>
        </w:rPr>
        <w:t>采集我国二级以上综合医院临床微生物实验室真菌检测能力现状数据，为制定临床微生物真菌实验室建设标准和相关法规提供依据。</w:t>
      </w:r>
    </w:p>
    <w:p/>
    <w:p>
      <w:pPr>
        <w:pStyle w:val="3"/>
      </w:pPr>
      <w:bookmarkStart w:id="7" w:name="_Toc519069680"/>
      <w:r>
        <w:t>调研对象</w:t>
      </w:r>
      <w:bookmarkEnd w:id="7"/>
    </w:p>
    <w:p>
      <w:r>
        <w:rPr>
          <w:rFonts w:hint="eastAsia"/>
        </w:rPr>
        <w:t>全国二级以上综合医院，以三级甲等综合医院为主。</w:t>
      </w:r>
    </w:p>
    <w:p/>
    <w:p>
      <w:pPr>
        <w:pStyle w:val="3"/>
      </w:pPr>
      <w:bookmarkStart w:id="8" w:name="_Toc519069681"/>
      <w:r>
        <w:t>调研方式</w:t>
      </w:r>
      <w:bookmarkEnd w:id="8"/>
    </w:p>
    <w:p>
      <w:r>
        <w:rPr>
          <w:rFonts w:hint="eastAsia"/>
        </w:rPr>
        <w:t>此次调研采用电子问卷在线填写的形式，由各医院指定一名负责人完成填写。问卷共涉及 10 项内容（4</w:t>
      </w:r>
      <w:r>
        <w:t>3</w:t>
      </w:r>
      <w:r>
        <w:rPr>
          <w:rFonts w:hint="eastAsia"/>
        </w:rPr>
        <w:t>个问题），包含填报医院的基本信息、实验室基本信息、临床微生物实验室人员信息、真菌检测基本信息等，具体问卷内容详见附录一。</w:t>
      </w:r>
    </w:p>
    <w:p>
      <w:r>
        <w:rPr>
          <w:rFonts w:hint="eastAsia"/>
        </w:rPr>
        <w:t>此次调研共发出调查问卷 596 份，回收有效问卷 446 份，其中 348 家为三级甲等综合医院（以下简称“三甲综合医院”）。以下调研报告将基于这3</w:t>
      </w:r>
      <w:r>
        <w:t>48</w:t>
      </w:r>
      <w:r>
        <w:rPr>
          <w:rFonts w:hint="eastAsia"/>
        </w:rPr>
        <w:t>家三甲综合医院的数据进行具体分析与讨论。</w:t>
      </w:r>
    </w:p>
    <w:p/>
    <w:p>
      <w:pPr>
        <w:pStyle w:val="3"/>
      </w:pPr>
      <w:bookmarkStart w:id="9" w:name="_Toc519069682"/>
      <w:r>
        <w:rPr>
          <w:rFonts w:hint="eastAsia"/>
        </w:rPr>
        <w:t>参与调研医院基本信息</w:t>
      </w:r>
      <w:bookmarkEnd w:id="9"/>
    </w:p>
    <w:p>
      <w:r>
        <w:rPr>
          <w:rFonts w:hint="eastAsia"/>
        </w:rPr>
        <w:t>从行政划分上看，除贵州及港澳台外，全国3</w:t>
      </w:r>
      <w:r>
        <w:t>0</w:t>
      </w:r>
      <w:r>
        <w:rPr>
          <w:rFonts w:hint="eastAsia"/>
        </w:rPr>
        <w:t>个省级行政区共3</w:t>
      </w:r>
      <w:r>
        <w:t>48</w:t>
      </w:r>
      <w:r>
        <w:rPr>
          <w:rFonts w:hint="eastAsia"/>
        </w:rPr>
        <w:t>家三甲综合医院参与了此次调研，其中北部地区8</w:t>
      </w:r>
      <w:r>
        <w:t>8</w:t>
      </w:r>
      <w:r>
        <w:rPr>
          <w:rFonts w:hint="eastAsia"/>
        </w:rPr>
        <w:t>家、华东地区1</w:t>
      </w:r>
      <w:r>
        <w:t>30</w:t>
      </w:r>
      <w:r>
        <w:rPr>
          <w:rFonts w:hint="eastAsia"/>
        </w:rPr>
        <w:t>家、中南地区8</w:t>
      </w:r>
      <w:r>
        <w:t>5</w:t>
      </w:r>
      <w:r>
        <w:rPr>
          <w:rFonts w:hint="eastAsia"/>
        </w:rPr>
        <w:t>家、西部地区4</w:t>
      </w:r>
      <w:r>
        <w:t>5</w:t>
      </w:r>
      <w:r>
        <w:rPr>
          <w:rFonts w:hint="eastAsia"/>
        </w:rPr>
        <w:t>家（</w:t>
      </w:r>
      <w:r>
        <w:fldChar w:fldCharType="begin"/>
      </w:r>
      <w:r>
        <w:instrText xml:space="preserve"> </w:instrText>
      </w:r>
      <w:r>
        <w:rPr>
          <w:rFonts w:hint="eastAsia"/>
        </w:rPr>
        <w:instrText xml:space="preserve">REF _Ref517364150 \h</w:instrText>
      </w:r>
      <w:r>
        <w:instrText xml:space="preserve"> </w:instrText>
      </w:r>
      <w:r>
        <w:fldChar w:fldCharType="separate"/>
      </w:r>
      <w:r>
        <w:rPr>
          <w:rFonts w:hint="eastAsia"/>
        </w:rPr>
        <w:t xml:space="preserve">图 </w:t>
      </w:r>
      <w:r>
        <w:t>1</w:t>
      </w:r>
      <w:r>
        <w:fldChar w:fldCharType="end"/>
      </w:r>
      <w:r>
        <w:rPr>
          <w:rFonts w:hint="eastAsia"/>
        </w:rPr>
        <w:t>）。</w:t>
      </w:r>
    </w:p>
    <w:p>
      <w:r>
        <w:rPr>
          <w:rFonts w:hint="eastAsia"/>
        </w:rPr>
        <w:t>从所在城市级别上看，4</w:t>
      </w:r>
      <w:r>
        <w:t>9</w:t>
      </w:r>
      <w:r>
        <w:rPr>
          <w:rFonts w:hint="eastAsia"/>
        </w:rPr>
        <w:t>家（1</w:t>
      </w:r>
      <w:r>
        <w:t>4</w:t>
      </w:r>
      <w:r>
        <w:rPr>
          <w:rFonts w:hint="eastAsia"/>
        </w:rPr>
        <w:t>%）位于一线城市，5</w:t>
      </w:r>
      <w:r>
        <w:t>7</w:t>
      </w:r>
      <w:r>
        <w:rPr>
          <w:rFonts w:hint="eastAsia"/>
        </w:rPr>
        <w:t>家（1</w:t>
      </w:r>
      <w:r>
        <w:t>6</w:t>
      </w:r>
      <w:r>
        <w:rPr>
          <w:rFonts w:hint="eastAsia"/>
        </w:rPr>
        <w:t>%）位于二线城市，其余2</w:t>
      </w:r>
      <w:r>
        <w:t>42</w:t>
      </w:r>
      <w:r>
        <w:rPr>
          <w:rFonts w:hint="eastAsia"/>
        </w:rPr>
        <w:t>家医院（7</w:t>
      </w:r>
      <w:r>
        <w:t>0</w:t>
      </w:r>
      <w:r>
        <w:rPr>
          <w:rFonts w:hint="eastAsia"/>
        </w:rPr>
        <w:t>%）地处三线及以下城市与地区。</w:t>
      </w:r>
    </w:p>
    <w:p>
      <w:r>
        <w:rPr>
          <w:rFonts w:hint="eastAsia"/>
        </w:rPr>
        <w:t>从医院规模上看（</w:t>
      </w:r>
      <w:r>
        <w:fldChar w:fldCharType="begin"/>
      </w:r>
      <w:r>
        <w:instrText xml:space="preserve"> </w:instrText>
      </w:r>
      <w:r>
        <w:rPr>
          <w:rFonts w:hint="eastAsia"/>
        </w:rPr>
        <w:instrText xml:space="preserve">REF _Ref517097207 \h</w:instrText>
      </w:r>
      <w:r>
        <w:instrText xml:space="preserve"> </w:instrText>
      </w:r>
      <w:r>
        <w:fldChar w:fldCharType="separate"/>
      </w:r>
      <w:r>
        <w:rPr>
          <w:rFonts w:hint="eastAsia"/>
        </w:rPr>
        <w:t xml:space="preserve">表 </w:t>
      </w:r>
      <w:r>
        <w:t>1</w:t>
      </w:r>
      <w:r>
        <w:fldChar w:fldCharType="end"/>
      </w:r>
      <w:r>
        <w:rPr>
          <w:rFonts w:hint="eastAsia"/>
        </w:rPr>
        <w:t>）， 3</w:t>
      </w:r>
      <w:r>
        <w:t>48</w:t>
      </w:r>
      <w:r>
        <w:rPr>
          <w:rFonts w:hint="eastAsia"/>
        </w:rPr>
        <w:t>家医院中各种规模大小均有涉及，但整体分布情况相对集中。就床位数而言，最少为</w:t>
      </w:r>
      <w:r>
        <w:t>216</w:t>
      </w:r>
      <w:r>
        <w:rPr>
          <w:rFonts w:hint="eastAsia"/>
        </w:rPr>
        <w:t>张，最多为</w:t>
      </w:r>
      <w:r>
        <w:t>6546</w:t>
      </w:r>
      <w:r>
        <w:rPr>
          <w:rFonts w:hint="eastAsia"/>
        </w:rPr>
        <w:t>张，其中7</w:t>
      </w:r>
      <w:r>
        <w:t>6</w:t>
      </w:r>
      <w:r>
        <w:rPr>
          <w:rFonts w:hint="eastAsia"/>
        </w:rPr>
        <w:t>%的医院在8</w:t>
      </w:r>
      <w:r>
        <w:t>01</w:t>
      </w:r>
      <w:r>
        <w:rPr>
          <w:rFonts w:hint="eastAsia"/>
        </w:rPr>
        <w:t>-</w:t>
      </w:r>
      <w:r>
        <w:t>2500</w:t>
      </w:r>
      <w:r>
        <w:rPr>
          <w:rFonts w:hint="eastAsia"/>
        </w:rPr>
        <w:t>之间；就门诊量而言，最少为5</w:t>
      </w:r>
      <w:r>
        <w:t>000</w:t>
      </w:r>
      <w:r>
        <w:rPr>
          <w:rFonts w:hint="eastAsia"/>
        </w:rPr>
        <w:t>例，最多为4</w:t>
      </w:r>
      <w:r>
        <w:t>800</w:t>
      </w:r>
      <w:r>
        <w:rPr>
          <w:rFonts w:hint="eastAsia"/>
        </w:rPr>
        <w:t>万例，9</w:t>
      </w:r>
      <w:r>
        <w:t>1</w:t>
      </w:r>
      <w:r>
        <w:rPr>
          <w:rFonts w:hint="eastAsia"/>
        </w:rPr>
        <w:t>%的医院2</w:t>
      </w:r>
      <w:r>
        <w:t>017</w:t>
      </w:r>
      <w:r>
        <w:rPr>
          <w:rFonts w:hint="eastAsia"/>
        </w:rPr>
        <w:t>年门诊量在十万例和百万例级别；年手术病人数最小</w:t>
      </w:r>
      <w:r>
        <w:t>300</w:t>
      </w:r>
      <w:r>
        <w:rPr>
          <w:rFonts w:hint="eastAsia"/>
        </w:rPr>
        <w:t>例，最大1</w:t>
      </w:r>
      <w:r>
        <w:t>00</w:t>
      </w:r>
      <w:r>
        <w:rPr>
          <w:rFonts w:hint="eastAsia"/>
        </w:rPr>
        <w:t>万例，7</w:t>
      </w:r>
      <w:r>
        <w:t>6</w:t>
      </w:r>
      <w:r>
        <w:rPr>
          <w:rFonts w:hint="eastAsia"/>
        </w:rPr>
        <w:t>%的医院集中在万例级别。</w:t>
      </w:r>
    </w:p>
    <w:p>
      <w:r>
        <w:rPr>
          <w:rFonts w:hint="eastAsia"/>
        </w:rPr>
        <w:t>总体而言，参与调研的3</w:t>
      </w:r>
      <w:r>
        <w:t>48</w:t>
      </w:r>
      <w:r>
        <w:rPr>
          <w:rFonts w:hint="eastAsia"/>
        </w:rPr>
        <w:t>家三甲综合医院具有较高的样本代表性，此次调研结果能够较为准确地反映中国三甲综合医院真菌检测能力基线水平。</w:t>
      </w:r>
    </w:p>
    <w:p>
      <w:pPr>
        <w:ind w:firstLine="0"/>
      </w:pPr>
      <w:r>
        <w:drawing>
          <wp:inline distT="0" distB="0" distL="0" distR="0">
            <wp:extent cx="6046470" cy="2891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rcRect l="1261" r="-1"/>
                    <a:stretch>
                      <a:fillRect/>
                    </a:stretch>
                  </pic:blipFill>
                  <pic:spPr>
                    <a:xfrm>
                      <a:off x="0" y="0"/>
                      <a:ext cx="6048189" cy="2892752"/>
                    </a:xfrm>
                    <a:prstGeom prst="rect">
                      <a:avLst/>
                    </a:prstGeom>
                    <a:noFill/>
                    <a:ln>
                      <a:noFill/>
                    </a:ln>
                  </pic:spPr>
                </pic:pic>
              </a:graphicData>
            </a:graphic>
          </wp:inline>
        </w:drawing>
      </w:r>
    </w:p>
    <w:p>
      <w:pPr>
        <w:pStyle w:val="6"/>
      </w:pPr>
      <w:bookmarkStart w:id="10" w:name="_Ref517364150"/>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bookmarkEnd w:id="10"/>
      <w:r>
        <w:rPr>
          <w:rFonts w:hint="eastAsia"/>
        </w:rPr>
        <w:t xml:space="preserve"> </w:t>
      </w:r>
      <w:r>
        <w:t xml:space="preserve">  各省</w:t>
      </w:r>
      <w:r>
        <w:rPr>
          <w:rFonts w:hint="eastAsia"/>
        </w:rPr>
        <w:t>参与调研的三甲综合医院数量</w:t>
      </w:r>
    </w:p>
    <w:p>
      <w:pPr>
        <w:ind w:firstLine="0"/>
      </w:pPr>
    </w:p>
    <w:p>
      <w:pPr>
        <w:pStyle w:val="6"/>
      </w:pPr>
      <w:bookmarkStart w:id="11" w:name="_Ref517097207"/>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bookmarkEnd w:id="11"/>
      <w:r>
        <w:t xml:space="preserve">   348</w:t>
      </w:r>
      <w:r>
        <w:rPr>
          <w:rFonts w:hint="eastAsia"/>
        </w:rPr>
        <w:t>家参与调研医院的规模分布</w:t>
      </w:r>
    </w:p>
    <w:tbl>
      <w:tblPr>
        <w:tblStyle w:val="20"/>
        <w:tblW w:w="0" w:type="auto"/>
        <w:tblInd w:w="24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0"/>
        <w:gridCol w:w="2070"/>
        <w:gridCol w:w="2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2700" w:type="dxa"/>
            <w:gridSpan w:val="2"/>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统计特征</w:t>
            </w:r>
          </w:p>
        </w:tc>
        <w:tc>
          <w:tcPr>
            <w:tcW w:w="2250" w:type="dxa"/>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医院数量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2700" w:type="dxa"/>
            <w:gridSpan w:val="2"/>
            <w:tcBorders>
              <w:top w:val="single" w:color="auto" w:sz="12" w:space="0"/>
            </w:tcBorders>
            <w:vAlign w:val="center"/>
          </w:tcPr>
          <w:p>
            <w:pPr>
              <w:spacing w:line="240" w:lineRule="auto"/>
              <w:ind w:firstLine="0"/>
              <w:jc w:val="left"/>
              <w:rPr>
                <w:b/>
                <w:sz w:val="20"/>
                <w:szCs w:val="20"/>
              </w:rPr>
            </w:pPr>
            <w:r>
              <w:rPr>
                <w:rFonts w:hint="eastAsia"/>
                <w:b/>
                <w:sz w:val="20"/>
                <w:szCs w:val="20"/>
              </w:rPr>
              <w:t>床位数</w:t>
            </w:r>
          </w:p>
        </w:tc>
        <w:tc>
          <w:tcPr>
            <w:tcW w:w="2250" w:type="dxa"/>
            <w:tcBorders>
              <w:top w:val="single" w:color="auto" w:sz="12" w:space="0"/>
            </w:tcBorders>
            <w:vAlign w:val="center"/>
          </w:tcPr>
          <w:p>
            <w:pPr>
              <w:spacing w:line="240" w:lineRule="auto"/>
              <w:ind w:firstLine="0"/>
              <w:jc w:val="left"/>
              <w:rPr>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≤800</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22 </w:t>
            </w:r>
            <w:r>
              <w:rPr>
                <w:rFonts w:cs="Calibri"/>
                <w:color w:val="000000" w:themeColor="text1"/>
                <w:kern w:val="24"/>
                <w:sz w:val="20"/>
                <w:szCs w:val="20"/>
                <w:lang w:val="en-US"/>
                <w14:textFill>
                  <w14:solidFill>
                    <w14:schemeClr w14:val="tx1"/>
                  </w14:solidFill>
                </w14:textFill>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801-1500</w:t>
            </w:r>
          </w:p>
        </w:tc>
        <w:tc>
          <w:tcPr>
            <w:tcW w:w="225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 xml:space="preserve">128 </w:t>
            </w:r>
            <w:r>
              <w:rPr>
                <w:rFonts w:cs="Calibri"/>
                <w:b/>
                <w:bCs/>
                <w:color w:val="000000" w:themeColor="text1"/>
                <w:kern w:val="24"/>
                <w:sz w:val="20"/>
                <w:szCs w:val="20"/>
                <w:lang w:val="en-US"/>
                <w14:textFill>
                  <w14:solidFill>
                    <w14:schemeClr w14:val="tx1"/>
                  </w14:solidFill>
                </w14:textFill>
              </w:rPr>
              <w:t>(36.8%)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1501-2500</w:t>
            </w:r>
          </w:p>
        </w:tc>
        <w:tc>
          <w:tcPr>
            <w:tcW w:w="225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 xml:space="preserve">137 </w:t>
            </w:r>
            <w:r>
              <w:rPr>
                <w:rFonts w:cs="Calibri"/>
                <w:b/>
                <w:bCs/>
                <w:color w:val="000000" w:themeColor="text1"/>
                <w:kern w:val="24"/>
                <w:sz w:val="20"/>
                <w:szCs w:val="20"/>
                <w:lang w:val="en-US"/>
                <w14:textFill>
                  <w14:solidFill>
                    <w14:schemeClr w14:val="tx1"/>
                  </w14:solidFill>
                </w14:textFill>
              </w:rPr>
              <w:t>(39.4%)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tcBorders>
              <w:bottom w:val="single" w:color="auto" w:sz="12" w:space="0"/>
            </w:tcBorders>
            <w:vAlign w:val="center"/>
          </w:tcPr>
          <w:p>
            <w:pPr>
              <w:spacing w:line="240" w:lineRule="auto"/>
              <w:ind w:firstLine="0"/>
              <w:jc w:val="left"/>
              <w:rPr>
                <w:sz w:val="20"/>
                <w:szCs w:val="20"/>
              </w:rPr>
            </w:pPr>
          </w:p>
        </w:tc>
        <w:tc>
          <w:tcPr>
            <w:tcW w:w="2070" w:type="dxa"/>
            <w:tcBorders>
              <w:bottom w:val="single" w:color="auto" w:sz="12" w:space="0"/>
            </w:tcBorders>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&gt;2500</w:t>
            </w:r>
          </w:p>
        </w:tc>
        <w:tc>
          <w:tcPr>
            <w:tcW w:w="2250" w:type="dxa"/>
            <w:tcBorders>
              <w:bottom w:val="single" w:color="auto" w:sz="12" w:space="0"/>
            </w:tcBorders>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61 </w:t>
            </w:r>
            <w:r>
              <w:rPr>
                <w:rFonts w:cs="Calibri"/>
                <w:color w:val="000000" w:themeColor="text1"/>
                <w:kern w:val="24"/>
                <w:sz w:val="20"/>
                <w:szCs w:val="20"/>
                <w:lang w:val="en-US"/>
                <w14:textFill>
                  <w14:solidFill>
                    <w14:schemeClr w14:val="tx1"/>
                  </w14:solidFill>
                </w14:textFill>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2700" w:type="dxa"/>
            <w:gridSpan w:val="2"/>
            <w:vAlign w:val="center"/>
          </w:tcPr>
          <w:p>
            <w:pPr>
              <w:spacing w:line="240" w:lineRule="auto"/>
              <w:ind w:firstLine="0"/>
              <w:jc w:val="left"/>
              <w:rPr>
                <w:b/>
                <w:sz w:val="20"/>
                <w:szCs w:val="20"/>
              </w:rPr>
            </w:pPr>
            <w:r>
              <w:rPr>
                <w:rFonts w:hint="eastAsia"/>
                <w:b/>
                <w:sz w:val="20"/>
                <w:szCs w:val="20"/>
              </w:rPr>
              <w:t>2017 年门诊量 (数量级)</w:t>
            </w:r>
          </w:p>
        </w:tc>
        <w:tc>
          <w:tcPr>
            <w:tcW w:w="2250" w:type="dxa"/>
            <w:vAlign w:val="center"/>
          </w:tcPr>
          <w:p>
            <w:pPr>
              <w:spacing w:line="240" w:lineRule="auto"/>
              <w:ind w:firstLine="0"/>
              <w:jc w:val="left"/>
              <w:rPr>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千</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4 </w:t>
            </w:r>
            <w:r>
              <w:rPr>
                <w:rFonts w:cs="Calibri"/>
                <w:color w:val="000000" w:themeColor="text1"/>
                <w:kern w:val="24"/>
                <w:sz w:val="20"/>
                <w:szCs w:val="20"/>
                <w:lang w:val="en-US"/>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万</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16 </w:t>
            </w:r>
            <w:r>
              <w:rPr>
                <w:rFonts w:cs="Calibri"/>
                <w:color w:val="000000" w:themeColor="text1"/>
                <w:kern w:val="24"/>
                <w:sz w:val="20"/>
                <w:szCs w:val="20"/>
                <w:lang w:val="en-US"/>
                <w14:textFill>
                  <w14:solidFill>
                    <w14:schemeClr w14:val="tx1"/>
                  </w14:solidFill>
                </w14:textFill>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b/>
                <w:bCs/>
                <w:color w:val="000000" w:themeColor="text1"/>
                <w:kern w:val="24"/>
                <w:sz w:val="20"/>
                <w:szCs w:val="20"/>
                <w:lang w:eastAsia="ja-JP"/>
                <w14:textFill>
                  <w14:solidFill>
                    <w14:schemeClr w14:val="tx1"/>
                  </w14:solidFill>
                </w14:textFill>
              </w:rPr>
              <w:t>十万</w:t>
            </w:r>
            <w:r>
              <w:rPr>
                <w:rFonts w:hint="eastAsia" w:cs="宋体"/>
                <w:b/>
                <w:bCs/>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 xml:space="preserve">118 </w:t>
            </w:r>
            <w:r>
              <w:rPr>
                <w:rFonts w:cs="Calibri"/>
                <w:b/>
                <w:bCs/>
                <w:color w:val="000000" w:themeColor="text1"/>
                <w:kern w:val="24"/>
                <w:sz w:val="20"/>
                <w:szCs w:val="20"/>
                <w:lang w:val="en-US"/>
                <w14:textFill>
                  <w14:solidFill>
                    <w14:schemeClr w14:val="tx1"/>
                  </w14:solidFill>
                </w14:textFill>
              </w:rPr>
              <w:t>(33.9%)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b/>
                <w:bCs/>
                <w:color w:val="000000" w:themeColor="text1"/>
                <w:kern w:val="24"/>
                <w:sz w:val="20"/>
                <w:szCs w:val="20"/>
                <w:lang w:eastAsia="ja-JP"/>
                <w14:textFill>
                  <w14:solidFill>
                    <w14:schemeClr w14:val="tx1"/>
                  </w14:solidFill>
                </w14:textFill>
              </w:rPr>
              <w:t>百万</w:t>
            </w:r>
            <w:r>
              <w:rPr>
                <w:rFonts w:hint="eastAsia" w:cs="宋体"/>
                <w:b/>
                <w:bCs/>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 xml:space="preserve">197 </w:t>
            </w:r>
            <w:r>
              <w:rPr>
                <w:rFonts w:cs="Calibri"/>
                <w:b/>
                <w:bCs/>
                <w:color w:val="000000" w:themeColor="text1"/>
                <w:kern w:val="24"/>
                <w:sz w:val="20"/>
                <w:szCs w:val="20"/>
                <w:lang w:val="en-US"/>
                <w14:textFill>
                  <w14:solidFill>
                    <w14:schemeClr w14:val="tx1"/>
                  </w14:solidFill>
                </w14:textFill>
              </w:rPr>
              <w:t>(56.6%)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千万</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4 </w:t>
            </w:r>
            <w:r>
              <w:rPr>
                <w:rFonts w:cs="Calibri"/>
                <w:color w:val="000000" w:themeColor="text1"/>
                <w:kern w:val="24"/>
                <w:sz w:val="20"/>
                <w:szCs w:val="20"/>
                <w:lang w:val="en-US"/>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tcBorders>
              <w:bottom w:val="single" w:color="auto" w:sz="12" w:space="0"/>
            </w:tcBorders>
            <w:vAlign w:val="center"/>
          </w:tcPr>
          <w:p>
            <w:pPr>
              <w:spacing w:line="240" w:lineRule="auto"/>
              <w:ind w:firstLine="0"/>
              <w:jc w:val="left"/>
              <w:rPr>
                <w:sz w:val="20"/>
                <w:szCs w:val="20"/>
              </w:rPr>
            </w:pPr>
          </w:p>
        </w:tc>
        <w:tc>
          <w:tcPr>
            <w:tcW w:w="2070" w:type="dxa"/>
            <w:tcBorders>
              <w:bottom w:val="single" w:color="auto" w:sz="12"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无数据</w:t>
            </w:r>
          </w:p>
        </w:tc>
        <w:tc>
          <w:tcPr>
            <w:tcW w:w="2250" w:type="dxa"/>
            <w:tcBorders>
              <w:bottom w:val="single" w:color="auto" w:sz="12" w:space="0"/>
            </w:tcBorders>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9 </w:t>
            </w:r>
            <w:r>
              <w:rPr>
                <w:rFonts w:cs="Calibri"/>
                <w:color w:val="000000" w:themeColor="text1"/>
                <w:kern w:val="24"/>
                <w:sz w:val="20"/>
                <w:szCs w:val="20"/>
                <w:lang w:val="en-US"/>
                <w14:textFill>
                  <w14:solidFill>
                    <w14:schemeClr w14:val="tx1"/>
                  </w14:solidFill>
                </w14:textFill>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2700" w:type="dxa"/>
            <w:gridSpan w:val="2"/>
            <w:tcBorders>
              <w:top w:val="single" w:color="auto" w:sz="12" w:space="0"/>
            </w:tcBorders>
            <w:vAlign w:val="center"/>
          </w:tcPr>
          <w:p>
            <w:pPr>
              <w:spacing w:line="240" w:lineRule="auto"/>
              <w:ind w:firstLine="0"/>
              <w:jc w:val="left"/>
              <w:rPr>
                <w:b/>
                <w:sz w:val="20"/>
                <w:szCs w:val="20"/>
              </w:rPr>
            </w:pPr>
            <w:r>
              <w:rPr>
                <w:rFonts w:hint="eastAsia"/>
                <w:b/>
                <w:sz w:val="20"/>
                <w:szCs w:val="20"/>
              </w:rPr>
              <w:t>2017 年手术病人 (数量级)</w:t>
            </w:r>
          </w:p>
        </w:tc>
        <w:tc>
          <w:tcPr>
            <w:tcW w:w="2250" w:type="dxa"/>
            <w:tcBorders>
              <w:top w:val="single" w:color="auto" w:sz="12" w:space="0"/>
            </w:tcBorders>
            <w:vAlign w:val="center"/>
          </w:tcPr>
          <w:p>
            <w:pPr>
              <w:spacing w:line="240" w:lineRule="auto"/>
              <w:ind w:firstLine="0"/>
              <w:jc w:val="left"/>
              <w:rPr>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百</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2 </w:t>
            </w:r>
            <w:r>
              <w:rPr>
                <w:rFonts w:cs="Calibri"/>
                <w:color w:val="000000" w:themeColor="text1"/>
                <w:kern w:val="24"/>
                <w:sz w:val="20"/>
                <w:szCs w:val="20"/>
                <w:lang w:val="en-US"/>
                <w14:textFill>
                  <w14:solidFill>
                    <w14:schemeClr w14:val="tx1"/>
                  </w14:solidFill>
                </w14:textFill>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千</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54 </w:t>
            </w:r>
            <w:r>
              <w:rPr>
                <w:rFonts w:cs="Calibri"/>
                <w:color w:val="000000" w:themeColor="text1"/>
                <w:kern w:val="24"/>
                <w:sz w:val="20"/>
                <w:szCs w:val="20"/>
                <w:lang w:val="en-US"/>
                <w14:textFill>
                  <w14:solidFill>
                    <w14:schemeClr w14:val="tx1"/>
                  </w14:solidFill>
                </w14:textFill>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b/>
                <w:bCs/>
                <w:color w:val="000000" w:themeColor="text1"/>
                <w:kern w:val="24"/>
                <w:sz w:val="20"/>
                <w:szCs w:val="20"/>
                <w:lang w:eastAsia="ja-JP"/>
                <w14:textFill>
                  <w14:solidFill>
                    <w14:schemeClr w14:val="tx1"/>
                  </w14:solidFill>
                </w14:textFill>
              </w:rPr>
              <w:t>万</w:t>
            </w:r>
            <w:r>
              <w:rPr>
                <w:rFonts w:hint="eastAsia" w:cs="宋体"/>
                <w:b/>
                <w:bCs/>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b/>
                <w:bCs/>
                <w:color w:val="000000" w:themeColor="text1"/>
                <w:kern w:val="24"/>
                <w:sz w:val="20"/>
                <w:szCs w:val="20"/>
                <w14:textFill>
                  <w14:solidFill>
                    <w14:schemeClr w14:val="tx1"/>
                  </w14:solidFill>
                </w14:textFill>
              </w:rPr>
              <w:t xml:space="preserve">266 </w:t>
            </w:r>
            <w:r>
              <w:rPr>
                <w:rFonts w:cs="Calibri"/>
                <w:b/>
                <w:bCs/>
                <w:color w:val="000000" w:themeColor="text1"/>
                <w:kern w:val="24"/>
                <w:sz w:val="20"/>
                <w:szCs w:val="20"/>
                <w:lang w:val="en-US"/>
                <w14:textFill>
                  <w14:solidFill>
                    <w14:schemeClr w14:val="tx1"/>
                  </w14:solidFill>
                </w14:textFill>
              </w:rPr>
              <w:t>(76</w:t>
            </w:r>
            <w:r>
              <w:rPr>
                <w:rFonts w:cs="Calibri"/>
                <w:b/>
                <w:bCs/>
                <w:color w:val="000000" w:themeColor="text1"/>
                <w:kern w:val="24"/>
                <w:sz w:val="20"/>
                <w:szCs w:val="20"/>
                <w14:textFill>
                  <w14:solidFill>
                    <w14:schemeClr w14:val="tx1"/>
                  </w14:solidFill>
                </w14:textFill>
              </w:rPr>
              <w:t>.4</w:t>
            </w:r>
            <w:r>
              <w:rPr>
                <w:rFonts w:cs="Calibri"/>
                <w:b/>
                <w:bCs/>
                <w:color w:val="000000" w:themeColor="text1"/>
                <w:kern w:val="24"/>
                <w:sz w:val="20"/>
                <w:szCs w:val="20"/>
                <w:lang w:val="en-US"/>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十万</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16 </w:t>
            </w:r>
            <w:r>
              <w:rPr>
                <w:rFonts w:cs="Calibri"/>
                <w:color w:val="000000" w:themeColor="text1"/>
                <w:kern w:val="24"/>
                <w:sz w:val="20"/>
                <w:szCs w:val="20"/>
                <w:lang w:val="en-US"/>
                <w14:textFill>
                  <w14:solidFill>
                    <w14:schemeClr w14:val="tx1"/>
                  </w14:solidFill>
                </w14:textFill>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vAlign w:val="center"/>
          </w:tcPr>
          <w:p>
            <w:pPr>
              <w:spacing w:line="240" w:lineRule="auto"/>
              <w:ind w:firstLine="0"/>
              <w:jc w:val="left"/>
              <w:rPr>
                <w:sz w:val="20"/>
                <w:szCs w:val="20"/>
              </w:rPr>
            </w:pPr>
          </w:p>
        </w:tc>
        <w:tc>
          <w:tcPr>
            <w:tcW w:w="2070" w:type="dxa"/>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百万</w:t>
            </w:r>
            <w:r>
              <w:rPr>
                <w:rFonts w:hint="eastAsia" w:cs="宋体"/>
                <w:color w:val="000000" w:themeColor="text1"/>
                <w:kern w:val="24"/>
                <w:sz w:val="20"/>
                <w:szCs w:val="20"/>
                <w14:textFill>
                  <w14:solidFill>
                    <w14:schemeClr w14:val="tx1"/>
                  </w14:solidFill>
                </w14:textFill>
              </w:rPr>
              <w:t>例</w:t>
            </w:r>
          </w:p>
        </w:tc>
        <w:tc>
          <w:tcPr>
            <w:tcW w:w="2250" w:type="dxa"/>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1 </w:t>
            </w:r>
            <w:r>
              <w:rPr>
                <w:rFonts w:cs="Calibri"/>
                <w:color w:val="000000" w:themeColor="text1"/>
                <w:kern w:val="24"/>
                <w:sz w:val="20"/>
                <w:szCs w:val="20"/>
                <w:lang w:val="en-US"/>
                <w14:textFill>
                  <w14:solidFill>
                    <w14:schemeClr w14:val="tx1"/>
                  </w14:solidFill>
                </w14:textFill>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630" w:type="dxa"/>
            <w:tcBorders>
              <w:bottom w:val="single" w:color="auto" w:sz="12" w:space="0"/>
            </w:tcBorders>
            <w:vAlign w:val="center"/>
          </w:tcPr>
          <w:p>
            <w:pPr>
              <w:spacing w:line="240" w:lineRule="auto"/>
              <w:ind w:firstLine="0"/>
              <w:jc w:val="left"/>
              <w:rPr>
                <w:sz w:val="20"/>
                <w:szCs w:val="20"/>
              </w:rPr>
            </w:pPr>
          </w:p>
        </w:tc>
        <w:tc>
          <w:tcPr>
            <w:tcW w:w="2070" w:type="dxa"/>
            <w:tcBorders>
              <w:bottom w:val="single" w:color="auto" w:sz="12"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lang w:eastAsia="ja-JP"/>
                <w14:textFill>
                  <w14:solidFill>
                    <w14:schemeClr w14:val="tx1"/>
                  </w14:solidFill>
                </w14:textFill>
              </w:rPr>
              <w:t>无数据</w:t>
            </w:r>
          </w:p>
        </w:tc>
        <w:tc>
          <w:tcPr>
            <w:tcW w:w="2250" w:type="dxa"/>
            <w:tcBorders>
              <w:bottom w:val="single" w:color="auto" w:sz="12" w:space="0"/>
            </w:tcBorders>
            <w:shd w:val="clear" w:color="auto" w:fill="auto"/>
            <w:vAlign w:val="center"/>
          </w:tcPr>
          <w:p>
            <w:pPr>
              <w:spacing w:line="240" w:lineRule="auto"/>
              <w:ind w:firstLine="0"/>
              <w:jc w:val="left"/>
              <w:rPr>
                <w:sz w:val="20"/>
                <w:szCs w:val="20"/>
              </w:rPr>
            </w:pPr>
            <w:r>
              <w:rPr>
                <w:rFonts w:cs="Calibri"/>
                <w:color w:val="000000" w:themeColor="text1"/>
                <w:kern w:val="24"/>
                <w:sz w:val="20"/>
                <w:szCs w:val="20"/>
                <w14:textFill>
                  <w14:solidFill>
                    <w14:schemeClr w14:val="tx1"/>
                  </w14:solidFill>
                </w14:textFill>
              </w:rPr>
              <w:t xml:space="preserve">9 </w:t>
            </w:r>
            <w:r>
              <w:rPr>
                <w:rFonts w:cs="Calibri"/>
                <w:color w:val="000000" w:themeColor="text1"/>
                <w:kern w:val="24"/>
                <w:sz w:val="20"/>
                <w:szCs w:val="20"/>
                <w:lang w:val="en-US"/>
                <w14:textFill>
                  <w14:solidFill>
                    <w14:schemeClr w14:val="tx1"/>
                  </w14:solidFill>
                </w14:textFill>
              </w:rPr>
              <w:t>(2.6%)</w:t>
            </w:r>
          </w:p>
        </w:tc>
      </w:tr>
    </w:tbl>
    <w:p>
      <w:pPr>
        <w:pStyle w:val="2"/>
      </w:pPr>
      <w:bookmarkStart w:id="12" w:name="_Toc519069683"/>
      <w:r>
        <w:rPr>
          <w:rFonts w:hint="eastAsia"/>
        </w:rPr>
        <w:t>调研结果</w:t>
      </w:r>
      <w:bookmarkEnd w:id="12"/>
    </w:p>
    <w:p>
      <w:pPr>
        <w:pStyle w:val="3"/>
        <w:numPr>
          <w:ilvl w:val="0"/>
          <w:numId w:val="4"/>
        </w:numPr>
      </w:pPr>
      <w:bookmarkStart w:id="13" w:name="_Toc519069684"/>
      <w:r>
        <w:rPr>
          <w:rFonts w:hint="eastAsia"/>
        </w:rPr>
        <w:t>实验室硬件水平</w:t>
      </w:r>
      <w:bookmarkEnd w:id="13"/>
    </w:p>
    <w:p>
      <w:pPr>
        <w:pStyle w:val="4"/>
      </w:pPr>
      <w:bookmarkStart w:id="14" w:name="_Toc519069685"/>
      <w:r>
        <w:rPr>
          <w:rFonts w:hint="eastAsia"/>
        </w:rPr>
        <w:t>真菌工作区域</w:t>
      </w:r>
      <w:bookmarkEnd w:id="14"/>
    </w:p>
    <w:p>
      <w:pPr>
        <w:jc w:val="left"/>
      </w:pPr>
      <w:r>
        <w:rPr>
          <w:rFonts w:hint="eastAsia"/>
        </w:rPr>
        <w:t>接受调查的348家医院中，2</w:t>
      </w:r>
      <w:r>
        <w:t>7</w:t>
      </w:r>
      <w:r>
        <w:rPr>
          <w:rFonts w:hint="eastAsia"/>
        </w:rPr>
        <w:t>%的医院（n</w:t>
      </w:r>
      <w:r>
        <w:t>=</w:t>
      </w:r>
      <w:r>
        <w:rPr>
          <w:rFonts w:hint="eastAsia"/>
        </w:rPr>
        <w:t>9</w:t>
      </w:r>
      <w:r>
        <w:t>4</w:t>
      </w:r>
      <w:r>
        <w:rPr>
          <w:rFonts w:hint="eastAsia"/>
        </w:rPr>
        <w:t>）具备独立的真菌工作区域。真菌工作区面积平均为</w:t>
      </w:r>
      <w:r>
        <w:t>22.9 m</w:t>
      </w:r>
      <w:r>
        <w:rPr>
          <w:vertAlign w:val="superscript"/>
        </w:rPr>
        <w:t>2</w:t>
      </w:r>
      <w:r>
        <w:rPr>
          <w:rFonts w:hint="eastAsia"/>
        </w:rPr>
        <w:t>，最小面积为5</w:t>
      </w:r>
      <w:r>
        <w:t xml:space="preserve"> m</w:t>
      </w:r>
      <w:r>
        <w:rPr>
          <w:vertAlign w:val="superscript"/>
        </w:rPr>
        <w:t>2</w:t>
      </w:r>
      <w:r>
        <w:rPr>
          <w:rFonts w:hint="eastAsia"/>
        </w:rPr>
        <w:t>，最大面积为1</w:t>
      </w:r>
      <w:r>
        <w:t>00 m</w:t>
      </w:r>
      <w:r>
        <w:rPr>
          <w:vertAlign w:val="superscript"/>
        </w:rPr>
        <w:t>2</w:t>
      </w:r>
      <w:r>
        <w:rPr>
          <w:rFonts w:hint="eastAsia"/>
        </w:rPr>
        <w:t>，分布如</w:t>
      </w:r>
      <w:r>
        <w:fldChar w:fldCharType="begin"/>
      </w:r>
      <w:r>
        <w:instrText xml:space="preserve"> </w:instrText>
      </w:r>
      <w:r>
        <w:rPr>
          <w:rFonts w:hint="eastAsia"/>
        </w:rPr>
        <w:instrText xml:space="preserve">REF _Ref517337441 \h</w:instrText>
      </w:r>
      <w:r>
        <w:instrText xml:space="preserve"> </w:instrText>
      </w:r>
      <w:r>
        <w:fldChar w:fldCharType="separate"/>
      </w:r>
      <w:r>
        <w:rPr>
          <w:rFonts w:hint="eastAsia"/>
        </w:rPr>
        <w:t xml:space="preserve">图 </w:t>
      </w:r>
      <w:r>
        <w:t>2</w:t>
      </w:r>
      <w:r>
        <w:fldChar w:fldCharType="end"/>
      </w:r>
      <w:r>
        <w:rPr>
          <w:rFonts w:hint="eastAsia"/>
        </w:rPr>
        <w:t>所示。</w:t>
      </w:r>
    </w:p>
    <w:p>
      <w:r>
        <w:rPr>
          <w:rFonts w:hint="eastAsia"/>
        </w:rPr>
        <w:t>独立真菌工作区设立的比例随临床微生物实验室总面积增大而升高。如</w:t>
      </w:r>
      <w:r>
        <w:fldChar w:fldCharType="begin"/>
      </w:r>
      <w:r>
        <w:instrText xml:space="preserve"> </w:instrText>
      </w:r>
      <w:r>
        <w:rPr>
          <w:rFonts w:hint="eastAsia"/>
        </w:rPr>
        <w:instrText xml:space="preserve">REF _Ref517339278 \h</w:instrText>
      </w:r>
      <w:r>
        <w:instrText xml:space="preserve"> </w:instrText>
      </w:r>
      <w:r>
        <w:fldChar w:fldCharType="separate"/>
      </w:r>
      <w:r>
        <w:rPr>
          <w:rFonts w:hint="eastAsia"/>
        </w:rPr>
        <w:t xml:space="preserve">图 </w:t>
      </w:r>
      <w:r>
        <w:t>3</w:t>
      </w:r>
      <w:r>
        <w:fldChar w:fldCharType="end"/>
      </w:r>
      <w:r>
        <w:rPr>
          <w:rFonts w:hint="eastAsia"/>
        </w:rPr>
        <w:t>所示，临床微生物实验室面积小于100 m</w:t>
      </w:r>
      <w:r>
        <w:rPr>
          <w:rFonts w:hint="eastAsia"/>
          <w:vertAlign w:val="superscript"/>
        </w:rPr>
        <w:t>2</w:t>
      </w:r>
      <w:r>
        <w:rPr>
          <w:rFonts w:hint="eastAsia"/>
        </w:rPr>
        <w:t>的医院（4</w:t>
      </w:r>
      <w:r>
        <w:t>7</w:t>
      </w:r>
      <w:r>
        <w:rPr>
          <w:rFonts w:hint="eastAsia"/>
        </w:rPr>
        <w:t>%的医院）设置独立真菌工作区的比例仅为1</w:t>
      </w:r>
      <w:r>
        <w:t>4</w:t>
      </w:r>
      <w:r>
        <w:rPr>
          <w:rFonts w:hint="eastAsia"/>
        </w:rPr>
        <w:t>%，而微生物实验室面积大于</w:t>
      </w:r>
      <w:r>
        <w:t>5</w:t>
      </w:r>
      <w:r>
        <w:rPr>
          <w:rFonts w:hint="eastAsia"/>
        </w:rPr>
        <w:t>00 m</w:t>
      </w:r>
      <w:r>
        <w:rPr>
          <w:rFonts w:hint="eastAsia"/>
          <w:vertAlign w:val="superscript"/>
        </w:rPr>
        <w:t>2</w:t>
      </w:r>
      <w:r>
        <w:rPr>
          <w:vertAlign w:val="superscript"/>
        </w:rPr>
        <w:t xml:space="preserve"> </w:t>
      </w:r>
      <w:r>
        <w:rPr>
          <w:rFonts w:hint="eastAsia"/>
        </w:rPr>
        <w:t>的医院（3%的医院）设置独立真菌工作区的比例则高达7</w:t>
      </w:r>
      <w:r>
        <w:t>0</w:t>
      </w:r>
      <w:r>
        <w:rPr>
          <w:rFonts w:hint="eastAsia"/>
        </w:rPr>
        <w:t>%。由此可见，有限的临床微生物实验室总面积或许是限制医院设置独立真菌工作区的因素之一。</w:t>
      </w:r>
    </w:p>
    <w:p>
      <w:r>
        <w:rPr>
          <w:rFonts w:hint="eastAsia"/>
        </w:rPr>
        <w:t>此外，医院规模大小（即床位数多少）对是否具备独立真菌工作区也有较大的影响，规模越大的医院设立独立真菌检测区域的比例越高（</w:t>
      </w:r>
      <w:r>
        <w:fldChar w:fldCharType="begin"/>
      </w:r>
      <w:r>
        <w:instrText xml:space="preserve"> REF _Ref517103174 \h </w:instrText>
      </w:r>
      <w:r>
        <w:fldChar w:fldCharType="separate"/>
      </w:r>
      <w:r>
        <w:rPr>
          <w:rFonts w:hint="eastAsia"/>
        </w:rPr>
        <w:t xml:space="preserve">图 </w:t>
      </w:r>
      <w:r>
        <w:t>4</w:t>
      </w:r>
      <w:r>
        <w:fldChar w:fldCharType="end"/>
      </w:r>
      <w:r>
        <w:rPr>
          <w:rFonts w:hint="eastAsia"/>
        </w:rPr>
        <w:t>）。这可能是由于，一方面规模较大的医院临床真菌感染检测需求较多；另一方面规模较大的医院整体面积相对较大，间接影响了独立真菌工作区的设立与否。</w:t>
      </w:r>
    </w:p>
    <w:p>
      <w:pPr>
        <w:jc w:val="center"/>
      </w:pPr>
      <w:r>
        <w:rPr>
          <w:vertAlign w:val="superscript"/>
        </w:rPr>
        <w:drawing>
          <wp:inline distT="0" distB="0" distL="0" distR="0">
            <wp:extent cx="4658360" cy="16859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8">
                      <a:extLst>
                        <a:ext uri="{28A0092B-C50C-407E-A947-70E740481C1C}">
                          <a14:useLocalDpi xmlns:a14="http://schemas.microsoft.com/office/drawing/2010/main" val="0"/>
                        </a:ext>
                      </a:extLst>
                    </a:blip>
                    <a:srcRect b="7310"/>
                    <a:stretch>
                      <a:fillRect/>
                    </a:stretch>
                  </pic:blipFill>
                  <pic:spPr>
                    <a:xfrm>
                      <a:off x="0" y="0"/>
                      <a:ext cx="4658360" cy="1686296"/>
                    </a:xfrm>
                    <a:prstGeom prst="rect">
                      <a:avLst/>
                    </a:prstGeom>
                    <a:noFill/>
                    <a:ln>
                      <a:noFill/>
                    </a:ln>
                  </pic:spPr>
                </pic:pic>
              </a:graphicData>
            </a:graphic>
          </wp:inline>
        </w:drawing>
      </w:r>
    </w:p>
    <w:p>
      <w:pPr>
        <w:pStyle w:val="6"/>
      </w:pPr>
      <w:bookmarkStart w:id="15" w:name="_Ref517337441"/>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bookmarkEnd w:id="15"/>
      <w:r>
        <w:t xml:space="preserve">   </w:t>
      </w:r>
      <w:r>
        <w:rPr>
          <w:rFonts w:hint="eastAsia"/>
        </w:rPr>
        <w:t>独立真菌工作区域面积</w:t>
      </w:r>
    </w:p>
    <w:p>
      <w:pPr>
        <w:ind w:firstLine="0"/>
      </w:pPr>
    </w:p>
    <w:p>
      <w:pPr>
        <w:jc w:val="left"/>
      </w:pPr>
      <w:r>
        <w:drawing>
          <wp:inline distT="0" distB="0" distL="0" distR="0">
            <wp:extent cx="5254625" cy="213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r="2508"/>
                    <a:stretch>
                      <a:fillRect/>
                    </a:stretch>
                  </pic:blipFill>
                  <pic:spPr>
                    <a:xfrm>
                      <a:off x="0" y="0"/>
                      <a:ext cx="5287851" cy="2150462"/>
                    </a:xfrm>
                    <a:prstGeom prst="rect">
                      <a:avLst/>
                    </a:prstGeom>
                    <a:noFill/>
                    <a:ln>
                      <a:noFill/>
                    </a:ln>
                  </pic:spPr>
                </pic:pic>
              </a:graphicData>
            </a:graphic>
          </wp:inline>
        </w:drawing>
      </w:r>
    </w:p>
    <w:p>
      <w:pPr>
        <w:pStyle w:val="6"/>
      </w:pPr>
      <w:bookmarkStart w:id="16" w:name="_Ref51733927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bookmarkEnd w:id="16"/>
      <w:r>
        <w:t xml:space="preserve">   </w:t>
      </w:r>
      <w:r>
        <w:rPr>
          <w:rFonts w:hint="eastAsia"/>
        </w:rPr>
        <w:t>微生物实验室面积越大，设置独立真菌工作区域的比例越高</w:t>
      </w:r>
    </w:p>
    <w:p>
      <w:pPr>
        <w:ind w:firstLine="0"/>
      </w:pPr>
    </w:p>
    <w:p>
      <w:r>
        <w:t xml:space="preserve">   </w:t>
      </w:r>
      <w:r>
        <w:drawing>
          <wp:inline distT="0" distB="0" distL="0" distR="0">
            <wp:extent cx="4901565" cy="21431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08756" cy="2146307"/>
                    </a:xfrm>
                    <a:prstGeom prst="rect">
                      <a:avLst/>
                    </a:prstGeom>
                    <a:noFill/>
                  </pic:spPr>
                </pic:pic>
              </a:graphicData>
            </a:graphic>
          </wp:inline>
        </w:drawing>
      </w:r>
    </w:p>
    <w:p>
      <w:pPr>
        <w:pStyle w:val="6"/>
      </w:pPr>
      <w:bookmarkStart w:id="17" w:name="_Ref517103174"/>
      <w:bookmarkStart w:id="18" w:name="_Ref517103171"/>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bookmarkEnd w:id="17"/>
      <w:r>
        <w:t xml:space="preserve">   </w:t>
      </w:r>
      <w:r>
        <w:rPr>
          <w:rFonts w:hint="eastAsia"/>
        </w:rPr>
        <w:t>医院规模越大，设置独立真菌工作区域的比例越高</w:t>
      </w:r>
      <w:bookmarkEnd w:id="18"/>
    </w:p>
    <w:p/>
    <w:p>
      <w:pPr>
        <w:pStyle w:val="4"/>
      </w:pPr>
      <w:bookmarkStart w:id="19" w:name="_Toc519069686"/>
      <w:r>
        <w:rPr>
          <w:rFonts w:hint="eastAsia"/>
        </w:rPr>
        <w:t>安全柜</w:t>
      </w:r>
      <w:bookmarkEnd w:id="19"/>
    </w:p>
    <w:p>
      <w:r>
        <w:rPr>
          <w:rFonts w:hint="eastAsia"/>
        </w:rPr>
        <w:t>独立真菌安全柜的设置可以有效避免菌株间的交叉感染。然而，调查显示，仅有 31% 的医院具备独立的真菌检测安全柜，其他医院均依赖于公用安全柜进行真菌检测。</w:t>
      </w:r>
    </w:p>
    <w:p>
      <w:r>
        <w:rPr>
          <w:rFonts w:hint="eastAsia"/>
        </w:rPr>
        <w:t>真菌安全柜的配置受医院规模大小的影响：床位数大于2500的医院中，49%的医院配备有独立的真菌安全柜；然而，床位数</w:t>
      </w:r>
      <w:r>
        <w:rPr>
          <w:rFonts w:cs="Arial"/>
        </w:rPr>
        <w:t>≤</w:t>
      </w:r>
      <w:r>
        <w:rPr>
          <w:rFonts w:hint="eastAsia"/>
        </w:rPr>
        <w:t>8</w:t>
      </w:r>
      <w:r>
        <w:t>00</w:t>
      </w:r>
      <w:r>
        <w:rPr>
          <w:rFonts w:hint="eastAsia"/>
        </w:rPr>
        <w:t>的医院中仅9%的医院具备独立真菌安全柜（</w:t>
      </w:r>
      <w:r>
        <w:fldChar w:fldCharType="begin"/>
      </w:r>
      <w:r>
        <w:instrText xml:space="preserve"> </w:instrText>
      </w:r>
      <w:r>
        <w:rPr>
          <w:rFonts w:hint="eastAsia"/>
        </w:rPr>
        <w:instrText xml:space="preserve">REF _Ref517103679 \h</w:instrText>
      </w:r>
      <w:r>
        <w:instrText xml:space="preserve"> </w:instrText>
      </w:r>
      <w:r>
        <w:fldChar w:fldCharType="separate"/>
      </w:r>
      <w:r>
        <w:rPr>
          <w:rFonts w:hint="eastAsia"/>
        </w:rPr>
        <w:t xml:space="preserve">图 </w:t>
      </w:r>
      <w:r>
        <w:t>5</w:t>
      </w:r>
      <w:r>
        <w:fldChar w:fldCharType="end"/>
      </w:r>
      <w:r>
        <w:rPr>
          <w:rFonts w:hint="eastAsia"/>
        </w:rPr>
        <w:t>）。值得注意的是，床位数</w:t>
      </w:r>
      <w:r>
        <w:rPr>
          <w:rFonts w:cs="Arial"/>
        </w:rPr>
        <w:t>≤</w:t>
      </w:r>
      <w:r>
        <w:rPr>
          <w:rFonts w:hint="eastAsia"/>
        </w:rPr>
        <w:t>8</w:t>
      </w:r>
      <w:r>
        <w:t>00</w:t>
      </w:r>
      <w:r>
        <w:rPr>
          <w:rFonts w:hint="eastAsia"/>
        </w:rPr>
        <w:t>且配置了独立真菌安全柜的两家医院均具有较高的真菌送检量（占所有医院前3</w:t>
      </w:r>
      <w:r>
        <w:t>5</w:t>
      </w:r>
      <w:r>
        <w:rPr>
          <w:rFonts w:hint="eastAsia"/>
        </w:rPr>
        <w:t>%）。由此可见，在真菌检测需求较高的情况下，医院配备独立真菌安全柜的比例较高。</w:t>
      </w:r>
    </w:p>
    <w:p>
      <w:r>
        <w:rPr>
          <w:rFonts w:hint="eastAsia"/>
        </w:rPr>
        <w:t>此外，设有独立真菌工作区域的医院配备独立真菌安全柜的比例显著提高，达8</w:t>
      </w:r>
      <w:r>
        <w:t>1</w:t>
      </w:r>
      <w:r>
        <w:rPr>
          <w:rFonts w:hint="eastAsia"/>
        </w:rPr>
        <w:t>%（p</w:t>
      </w:r>
      <w:r>
        <w:t>&lt;0.001</w:t>
      </w:r>
      <w:r>
        <w:rPr>
          <w:rFonts w:hint="eastAsia"/>
        </w:rPr>
        <w:t>）。</w:t>
      </w:r>
    </w:p>
    <w:p>
      <w:r>
        <w:drawing>
          <wp:inline distT="0" distB="0" distL="0" distR="0">
            <wp:extent cx="5092700" cy="22263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97952" cy="2229032"/>
                    </a:xfrm>
                    <a:prstGeom prst="rect">
                      <a:avLst/>
                    </a:prstGeom>
                    <a:noFill/>
                  </pic:spPr>
                </pic:pic>
              </a:graphicData>
            </a:graphic>
          </wp:inline>
        </w:drawing>
      </w:r>
    </w:p>
    <w:p>
      <w:pPr>
        <w:pStyle w:val="6"/>
      </w:pPr>
      <w:bookmarkStart w:id="20" w:name="_Ref51710367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bookmarkEnd w:id="20"/>
      <w:r>
        <w:t xml:space="preserve">   </w:t>
      </w:r>
      <w:r>
        <w:rPr>
          <w:rFonts w:hint="eastAsia"/>
        </w:rPr>
        <w:t>医院规模越大，设置独立真菌安全柜的比例越高</w:t>
      </w:r>
    </w:p>
    <w:p/>
    <w:p>
      <w:pPr>
        <w:pStyle w:val="4"/>
      </w:pPr>
      <w:bookmarkStart w:id="21" w:name="_Toc519069687"/>
      <w:r>
        <w:rPr>
          <w:rFonts w:hint="eastAsia"/>
        </w:rPr>
        <w:t>培养孵箱</w:t>
      </w:r>
      <w:bookmarkEnd w:id="21"/>
    </w:p>
    <w:p>
      <w:r>
        <w:rPr>
          <w:rFonts w:hint="eastAsia"/>
        </w:rPr>
        <w:t>真菌培养条件由菌种及临床标本特性决定。根据《临床微生物实验室真菌检测能力建设专家共识》（以下简称《临床真菌检测专家共识》），三甲综合医院应同时配备</w:t>
      </w:r>
      <w:r>
        <w:t>28</w:t>
      </w:r>
      <w:bookmarkStart w:id="22" w:name="_Hlk518373793"/>
      <w:r>
        <w:rPr>
          <w:rFonts w:hint="eastAsia"/>
          <w:vertAlign w:val="superscript"/>
        </w:rPr>
        <w:t>o</w:t>
      </w:r>
      <w:r>
        <w:rPr>
          <w:rFonts w:hint="eastAsia"/>
        </w:rPr>
        <w:t>C</w:t>
      </w:r>
      <w:bookmarkEnd w:id="22"/>
      <w:r>
        <w:rPr>
          <w:rFonts w:hint="eastAsia"/>
        </w:rPr>
        <w:t xml:space="preserve">和 </w:t>
      </w:r>
      <w:r>
        <w:t>35</w:t>
      </w:r>
      <w:r>
        <w:rPr>
          <w:rFonts w:hint="eastAsia"/>
          <w:vertAlign w:val="superscript"/>
        </w:rPr>
        <w:t>o</w:t>
      </w:r>
      <w:r>
        <w:rPr>
          <w:rFonts w:hint="eastAsia"/>
        </w:rPr>
        <w:t>C 培养孵箱，以满足各种菌株及标本的培养需求。调查显示，目前72% 的医院具备独立真菌培养孵箱。然而，其中仅 28% （n</w:t>
      </w:r>
      <w:r>
        <w:t>=70</w:t>
      </w:r>
      <w:r>
        <w:rPr>
          <w:rFonts w:hint="eastAsia"/>
        </w:rPr>
        <w:t xml:space="preserve">）的医院同时配备 </w:t>
      </w:r>
      <w:bookmarkStart w:id="23" w:name="OLE_LINK8"/>
      <w:bookmarkStart w:id="24" w:name="OLE_LINK7"/>
      <w:r>
        <w:t>28</w:t>
      </w:r>
      <w:r>
        <w:rPr>
          <w:rFonts w:hint="eastAsia"/>
          <w:vertAlign w:val="superscript"/>
        </w:rPr>
        <w:t>o</w:t>
      </w:r>
      <w:r>
        <w:rPr>
          <w:rFonts w:hint="eastAsia"/>
        </w:rPr>
        <w:t>C 和</w:t>
      </w:r>
      <w:bookmarkStart w:id="25" w:name="OLE_LINK5"/>
      <w:bookmarkStart w:id="26" w:name="OLE_LINK6"/>
      <w:r>
        <w:rPr>
          <w:rFonts w:hint="eastAsia"/>
        </w:rPr>
        <w:t xml:space="preserve"> </w:t>
      </w:r>
      <w:r>
        <w:t>35</w:t>
      </w:r>
      <w:bookmarkEnd w:id="25"/>
      <w:bookmarkEnd w:id="26"/>
      <w:r>
        <w:rPr>
          <w:rFonts w:hint="eastAsia"/>
          <w:vertAlign w:val="superscript"/>
        </w:rPr>
        <w:t>o</w:t>
      </w:r>
      <w:r>
        <w:rPr>
          <w:rFonts w:hint="eastAsia"/>
        </w:rPr>
        <w:t>C 培养孵箱</w:t>
      </w:r>
      <w:bookmarkEnd w:id="23"/>
      <w:bookmarkEnd w:id="24"/>
      <w:r>
        <w:rPr>
          <w:rFonts w:hint="eastAsia"/>
        </w:rPr>
        <w:t>，</w:t>
      </w:r>
      <w:r>
        <w:t>62</w:t>
      </w:r>
      <w:r>
        <w:rPr>
          <w:rFonts w:hint="eastAsia"/>
        </w:rPr>
        <w:t>% 的医院仅配备单一温度培养孵箱（</w:t>
      </w:r>
      <w:r>
        <w:fldChar w:fldCharType="begin"/>
      </w:r>
      <w:r>
        <w:instrText xml:space="preserve"> </w:instrText>
      </w:r>
      <w:r>
        <w:rPr>
          <w:rFonts w:hint="eastAsia"/>
        </w:rPr>
        <w:instrText xml:space="preserve">REF _Ref517103668 \h</w:instrText>
      </w:r>
      <w:r>
        <w:instrText xml:space="preserve"> </w:instrText>
      </w:r>
      <w:r>
        <w:fldChar w:fldCharType="separate"/>
      </w:r>
      <w:r>
        <w:rPr>
          <w:rFonts w:hint="eastAsia"/>
        </w:rPr>
        <w:t xml:space="preserve">图 </w:t>
      </w:r>
      <w:r>
        <w:t>6</w:t>
      </w:r>
      <w:r>
        <w:fldChar w:fldCharType="end"/>
      </w:r>
      <w:r>
        <w:rPr>
          <w:rFonts w:hint="eastAsia"/>
        </w:rPr>
        <w:t>）。</w:t>
      </w:r>
    </w:p>
    <w:p>
      <w:pPr>
        <w:ind w:firstLine="0"/>
        <w:jc w:val="center"/>
      </w:pPr>
      <w:r>
        <w:drawing>
          <wp:inline distT="0" distB="0" distL="0" distR="0">
            <wp:extent cx="4390390" cy="194691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12">
                      <a:extLst>
                        <a:ext uri="{28A0092B-C50C-407E-A947-70E740481C1C}">
                          <a14:useLocalDpi xmlns:a14="http://schemas.microsoft.com/office/drawing/2010/main" val="0"/>
                        </a:ext>
                      </a:extLst>
                    </a:blip>
                    <a:srcRect t="14418" b="16054"/>
                    <a:stretch>
                      <a:fillRect/>
                    </a:stretch>
                  </pic:blipFill>
                  <pic:spPr>
                    <a:xfrm>
                      <a:off x="0" y="0"/>
                      <a:ext cx="4391660" cy="1947460"/>
                    </a:xfrm>
                    <a:prstGeom prst="rect">
                      <a:avLst/>
                    </a:prstGeom>
                    <a:noFill/>
                    <a:ln>
                      <a:noFill/>
                    </a:ln>
                  </pic:spPr>
                </pic:pic>
              </a:graphicData>
            </a:graphic>
          </wp:inline>
        </w:drawing>
      </w:r>
    </w:p>
    <w:p>
      <w:pPr>
        <w:pStyle w:val="6"/>
      </w:pPr>
      <w:bookmarkStart w:id="27" w:name="_Ref51710366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bookmarkEnd w:id="27"/>
      <w:r>
        <w:t xml:space="preserve">   </w:t>
      </w:r>
      <w:r>
        <w:rPr>
          <w:rFonts w:hint="eastAsia"/>
        </w:rPr>
        <w:t>独立真菌培养孵箱</w:t>
      </w:r>
    </w:p>
    <w:p/>
    <w:p>
      <w:pPr>
        <w:pStyle w:val="4"/>
      </w:pPr>
      <w:bookmarkStart w:id="28" w:name="_Toc519069688"/>
      <w:r>
        <w:rPr>
          <w:rFonts w:hint="eastAsia"/>
        </w:rPr>
        <w:t>亚专业分组</w:t>
      </w:r>
      <w:bookmarkEnd w:id="28"/>
    </w:p>
    <w:p>
      <w:r>
        <w:rPr>
          <w:rFonts w:hint="eastAsia"/>
        </w:rPr>
        <w:t>临床微生物实验室亚专业分组情况如</w:t>
      </w:r>
      <w:r>
        <w:fldChar w:fldCharType="begin"/>
      </w:r>
      <w:r>
        <w:instrText xml:space="preserve"> </w:instrText>
      </w:r>
      <w:r>
        <w:rPr>
          <w:rFonts w:hint="eastAsia"/>
        </w:rPr>
        <w:instrText xml:space="preserve">REF _Ref517342612 \h</w:instrText>
      </w:r>
      <w:r>
        <w:instrText xml:space="preserve"> </w:instrText>
      </w:r>
      <w:r>
        <w:fldChar w:fldCharType="separate"/>
      </w:r>
      <w:r>
        <w:rPr>
          <w:rFonts w:hint="eastAsia"/>
        </w:rPr>
        <w:t xml:space="preserve">图 </w:t>
      </w:r>
      <w:r>
        <w:t>7</w:t>
      </w:r>
      <w:r>
        <w:fldChar w:fldCharType="end"/>
      </w:r>
      <w:r>
        <w:rPr>
          <w:rFonts w:hint="eastAsia"/>
        </w:rPr>
        <w:t>所示。35% 的微生物实验室进行亚专业分组，其中28%</w:t>
      </w:r>
      <w:r>
        <w:t xml:space="preserve"> </w:t>
      </w:r>
      <w:r>
        <w:rPr>
          <w:rFonts w:hint="eastAsia"/>
        </w:rPr>
        <w:t>的医院（n</w:t>
      </w:r>
      <w:r>
        <w:t>=34</w:t>
      </w:r>
      <w:r>
        <w:rPr>
          <w:rFonts w:hint="eastAsia"/>
        </w:rPr>
        <w:t>）有单独设立真菌组。值得注意的是，设立真菌亚专业组的医院中，配备独立真菌工作区域的比例更高（5</w:t>
      </w:r>
      <w:r>
        <w:t>9</w:t>
      </w:r>
      <w:r>
        <w:rPr>
          <w:rFonts w:hint="eastAsia"/>
        </w:rPr>
        <w:t>%</w:t>
      </w:r>
      <w:r>
        <w:t xml:space="preserve"> </w:t>
      </w:r>
      <w:r>
        <w:rPr>
          <w:rFonts w:hint="eastAsia"/>
        </w:rPr>
        <w:t>vs</w:t>
      </w:r>
      <w:r>
        <w:t>. 20%</w:t>
      </w:r>
      <w:r>
        <w:rPr>
          <w:rFonts w:hint="eastAsia"/>
        </w:rPr>
        <w:t>），工作区域的平均面积也相对较大（2</w:t>
      </w:r>
      <w:r>
        <w:t>8</w:t>
      </w:r>
      <w:r>
        <w:rPr>
          <w:rFonts w:hint="eastAsia"/>
        </w:rPr>
        <w:t>m</w:t>
      </w:r>
      <w:r>
        <w:rPr>
          <w:vertAlign w:val="superscript"/>
        </w:rPr>
        <w:t>2</w:t>
      </w:r>
      <w:r>
        <w:t xml:space="preserve"> vs. 20 m</w:t>
      </w:r>
      <w:r>
        <w:rPr>
          <w:vertAlign w:val="superscript"/>
        </w:rPr>
        <w:t>2</w:t>
      </w:r>
      <w:r>
        <w:rPr>
          <w:rFonts w:hint="eastAsia"/>
        </w:rPr>
        <w:t>）（</w:t>
      </w:r>
      <w:r>
        <w:fldChar w:fldCharType="begin"/>
      </w:r>
      <w:r>
        <w:instrText xml:space="preserve"> </w:instrText>
      </w:r>
      <w:r>
        <w:rPr>
          <w:rFonts w:hint="eastAsia"/>
        </w:rPr>
        <w:instrText xml:space="preserve">REF _Ref517343114 \h</w:instrText>
      </w:r>
      <w:r>
        <w:instrText xml:space="preserve"> </w:instrText>
      </w:r>
      <w:r>
        <w:fldChar w:fldCharType="separate"/>
      </w:r>
      <w:r>
        <w:rPr>
          <w:rFonts w:hint="eastAsia"/>
        </w:rPr>
        <w:t xml:space="preserve">图 </w:t>
      </w:r>
      <w:r>
        <w:t>8</w:t>
      </w:r>
      <w:r>
        <w:fldChar w:fldCharType="end"/>
      </w:r>
      <w:r>
        <w:rPr>
          <w:rFonts w:hint="eastAsia"/>
        </w:rPr>
        <w:t>）。</w:t>
      </w:r>
    </w:p>
    <w:p>
      <w:pPr>
        <w:ind w:firstLine="0"/>
        <w:jc w:val="left"/>
      </w:pPr>
      <w:r>
        <w:t xml:space="preserve"> </w:t>
      </w:r>
      <w:r>
        <w:drawing>
          <wp:inline distT="0" distB="0" distL="0" distR="0">
            <wp:extent cx="567817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96466" cy="2790146"/>
                    </a:xfrm>
                    <a:prstGeom prst="rect">
                      <a:avLst/>
                    </a:prstGeom>
                    <a:noFill/>
                  </pic:spPr>
                </pic:pic>
              </a:graphicData>
            </a:graphic>
          </wp:inline>
        </w:drawing>
      </w:r>
    </w:p>
    <w:p>
      <w:pPr>
        <w:pStyle w:val="6"/>
      </w:pPr>
      <w:bookmarkStart w:id="29" w:name="_Ref51734261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bookmarkEnd w:id="29"/>
      <w:r>
        <w:t xml:space="preserve">   </w:t>
      </w:r>
      <w:r>
        <w:rPr>
          <w:rFonts w:hint="eastAsia"/>
        </w:rPr>
        <w:t>临床微生物实验室亚专业分组情况</w:t>
      </w:r>
    </w:p>
    <w:p>
      <w:pPr>
        <w:ind w:firstLine="0"/>
      </w:pPr>
    </w:p>
    <w:p>
      <w:pPr>
        <w:ind w:firstLine="0"/>
        <w:jc w:val="center"/>
      </w:pPr>
      <w:r>
        <w:drawing>
          <wp:inline distT="0" distB="0" distL="0" distR="0">
            <wp:extent cx="5212715" cy="290703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8083" cy="2910002"/>
                    </a:xfrm>
                    <a:prstGeom prst="rect">
                      <a:avLst/>
                    </a:prstGeom>
                    <a:noFill/>
                  </pic:spPr>
                </pic:pic>
              </a:graphicData>
            </a:graphic>
          </wp:inline>
        </w:drawing>
      </w:r>
    </w:p>
    <w:p>
      <w:pPr>
        <w:pStyle w:val="6"/>
      </w:pPr>
      <w:bookmarkStart w:id="30" w:name="_Ref517343114"/>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bookmarkEnd w:id="30"/>
      <w:r>
        <w:t xml:space="preserve">   </w:t>
      </w:r>
      <w:r>
        <w:rPr>
          <w:rFonts w:hint="eastAsia"/>
        </w:rPr>
        <w:t>设置真菌亚专业组的医院配备独立真菌工作区域的比例更高</w:t>
      </w:r>
    </w:p>
    <w:p>
      <w:r>
        <w:rPr>
          <w:rFonts w:hint="eastAsia"/>
        </w:rPr>
        <mc:AlternateContent>
          <mc:Choice Requires="wpg">
            <w:drawing>
              <wp:anchor distT="0" distB="0" distL="114300" distR="114300" simplePos="0" relativeHeight="251659264" behindDoc="0" locked="0" layoutInCell="1" allowOverlap="1">
                <wp:simplePos x="0" y="0"/>
                <wp:positionH relativeFrom="column">
                  <wp:posOffset>2501900</wp:posOffset>
                </wp:positionH>
                <wp:positionV relativeFrom="paragraph">
                  <wp:posOffset>179070</wp:posOffset>
                </wp:positionV>
                <wp:extent cx="446405" cy="494030"/>
                <wp:effectExtent l="0" t="0" r="0" b="0"/>
                <wp:wrapNone/>
                <wp:docPr id="193" name="Group 193"/>
                <wp:cNvGraphicFramePr/>
                <a:graphic xmlns:a="http://schemas.openxmlformats.org/drawingml/2006/main">
                  <a:graphicData uri="http://schemas.microsoft.com/office/word/2010/wordprocessingGroup">
                    <wpg:wgp>
                      <wpg:cNvGrpSpPr/>
                      <wpg:grpSpPr>
                        <a:xfrm>
                          <a:off x="0" y="0"/>
                          <a:ext cx="446405" cy="494035"/>
                          <a:chOff x="2502277" y="1539754"/>
                          <a:chExt cx="446405" cy="494035"/>
                        </a:xfrm>
                      </wpg:grpSpPr>
                      <wps:wsp>
                        <wps:cNvPr id="194" name="TextBox 1"/>
                        <wps:cNvSpPr txBox="1"/>
                        <wps:spPr>
                          <a:xfrm>
                            <a:off x="2502277" y="1756294"/>
                            <a:ext cx="446405" cy="277495"/>
                          </a:xfrm>
                          <a:prstGeom prst="rect">
                            <a:avLst/>
                          </a:prstGeom>
                          <a:noFill/>
                        </wps:spPr>
                        <wps:txbx>
                          <w:txbxContent>
                            <w:p>
                              <w:pPr>
                                <w:pStyle w:val="16"/>
                                <w:spacing w:before="0" w:beforeAutospacing="0" w:after="0" w:afterAutospacing="0"/>
                              </w:pPr>
                              <w:r>
                                <w:rPr>
                                  <w:rFonts w:hAnsi="Calibri" w:asciiTheme="minorHAnsi" w:cstheme="minorBidi"/>
                                  <w:color w:val="FFFFFF" w:themeColor="background1"/>
                                  <w:kern w:val="24"/>
                                  <w14:textFill>
                                    <w14:solidFill>
                                      <w14:schemeClr w14:val="bg1"/>
                                    </w14:solidFill>
                                  </w14:textFill>
                                </w:rPr>
                                <w:t>72%</w:t>
                              </w:r>
                            </w:p>
                          </w:txbxContent>
                        </wps:txbx>
                        <wps:bodyPr wrap="none" rtlCol="0">
                          <a:spAutoFit/>
                        </wps:bodyPr>
                      </wps:wsp>
                      <wps:wsp>
                        <wps:cNvPr id="195" name="TextBox 2"/>
                        <wps:cNvSpPr txBox="1"/>
                        <wps:spPr>
                          <a:xfrm>
                            <a:off x="2554559" y="1539754"/>
                            <a:ext cx="335915" cy="297815"/>
                          </a:xfrm>
                          <a:prstGeom prst="rect">
                            <a:avLst/>
                          </a:prstGeom>
                          <a:noFill/>
                        </wps:spPr>
                        <wps:txbx>
                          <w:txbxContent>
                            <w:p>
                              <w:pPr>
                                <w:pStyle w:val="16"/>
                                <w:spacing w:before="0" w:beforeAutospacing="0" w:after="0" w:afterAutospacing="0"/>
                              </w:pPr>
                              <w:r>
                                <w:rPr>
                                  <w:rFonts w:hint="eastAsia" w:hAnsi="等线" w:asciiTheme="minorHAnsi" w:cstheme="minorBidi"/>
                                  <w:b/>
                                  <w:bCs/>
                                  <w:color w:val="FFFFFF" w:themeColor="background1"/>
                                  <w:kern w:val="24"/>
                                  <w14:textFill>
                                    <w14:solidFill>
                                      <w14:schemeClr w14:val="bg1"/>
                                    </w14:solidFill>
                                  </w14:textFill>
                                </w:rPr>
                                <w:t>有</w:t>
                              </w:r>
                            </w:p>
                          </w:txbxContent>
                        </wps:txbx>
                        <wps:bodyPr wrap="none" rtlCol="0">
                          <a:spAutoFit/>
                        </wps:bodyPr>
                      </wps:wsp>
                    </wpg:wgp>
                  </a:graphicData>
                </a:graphic>
              </wp:anchor>
            </w:drawing>
          </mc:Choice>
          <mc:Fallback>
            <w:pict>
              <v:group id="Group 193" o:spid="_x0000_s1026" o:spt="203" style="position:absolute;left:0pt;margin-left:197pt;margin-top:14.1pt;height:38.9pt;width:35.15pt;z-index:251659264;mso-width-relative:page;mso-height-relative:page;" coordorigin="2502277,1539754" coordsize="446405,494035" o:gfxdata="UEsDBAoAAAAAAIdO4kAAAAAAAAAAAAAAAAAEAAAAZHJzL1BLAwQUAAAACACHTuJAzawhXNoAAAAK&#10;AQAADwAAAGRycy9kb3ducmV2LnhtbE2PTUvDQBCG74L/YRnBm93Nh6HGbIoU9VQEW0G8bZNpEpqd&#10;Ddlt0v57x5M9DvPwvs9brM62FxOOvnOkIVooEEiVqztqNHzt3h6WIHwwVJveEWq4oIdVeXtTmLx2&#10;M33itA2N4BDyudHQhjDkUvqqRWv8wg1I/Du40ZrA59jIejQzh9texkpl0pqOuKE1A65brI7bk9Xw&#10;Ppv5JYlep83xsL787B4/vjcRan1/F6lnEAHP4R+GP31Wh5Kd9u5EtRe9huQp5S1BQ7yMQTCQZmkC&#10;Ys+kyhTIspDXE8pfUEsDBBQAAAAIAIdO4kB5qJekRgIAACoGAAAOAAAAZHJzL2Uyb0RvYy54bWzN&#10;VNuO0zAQfUfiHyy/06Rp0m6ipiugbF8QrLTLB7iOc5Hii2y3Sf+esXNZ6K7QAhLiJbHH4+M554y9&#10;ve15i85Mm0aKHC8XIUZMUFk0osrxt8e7dzcYGUtEQVopWI4vzODb3ds3205lLJK1bAumEYAIk3Uq&#10;x7W1KgsCQ2vGiVlIxQQsllJzYmGqq6DQpAN03gZRGK6DTupCaUmZMRDdD4t4RNSvAZRl2VC2l/TE&#10;mbADqmYtsUDJ1I0yeOerLUtG7deyNMyiNsfA1PovHALjo/sGuy3JKk1U3dCxBPKaEq44cdIIOHSG&#10;2hNL0Ek3z6B4Q7U0srQLKnkwEPGKAItleKXNQcuT8lyqrKvULDoYdaX6H8PSL+d7jZoCOiFdYSQI&#10;B8v9ucgFQJ5OVRlkHbR6UPd6DFTDzDHuS83dH7ig3gt7mYVlvUUUgnG8jsMEIwpLcRqHq2QQntbg&#10;jtsVJWEUbTYYQcIyWaWbJJ4yPv0SI5gKCFydc1mdguY0T4qZv1PsoSaKeSOM02JWLJ4UewSmH2SP&#10;loNiPsvJhWwPYeA0xQ0EX1DtJ/6bZB2lI/+XFASh4tQrOLMnmdLGHpjkyA1yrKHzfUOS82djwTVI&#10;nVLc+ULeNW3r4k6qoSo3sv2x9x6b7CiLCzDo4HLkWMBbgJG27Ufpb5LDMOr9yQKOh3ebhx0jJsjv&#10;muef+ACtNXTu5EM06Q1u/Z4PSZwk6fM+nHxYrZJ0OXZylG5uYDyIO12DSeT/ywd/O+AJ8X0wPnfu&#10;jfpx7n17euJ3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rCFc2gAAAAoBAAAPAAAAAAAAAAEA&#10;IAAAACIAAABkcnMvZG93bnJldi54bWxQSwECFAAUAAAACACHTuJAeaiXpEYCAAAqBgAADgAAAAAA&#10;AAABACAAAAApAQAAZHJzL2Uyb0RvYy54bWxQSwUGAAAAAAYABgBZAQAA4QUAAAAA&#10;">
                <o:lock v:ext="edit" aspectratio="f"/>
                <v:shape id="TextBox 1" o:spid="_x0000_s1026" o:spt="202" type="#_x0000_t202" style="position:absolute;left:2502277;top:1756294;height:277495;width:446405;mso-wrap-style:none;" filled="f" stroked="f" coordsize="21600,21600" o:gfxdata="UEsDBAoAAAAAAIdO4kAAAAAAAAAAAAAAAAAEAAAAZHJzL1BLAwQUAAAACACHTuJAND1z/LsAAADc&#10;AAAADwAAAGRycy9kb3ducmV2LnhtbEVPS27CMBDdV+odrEHqrthBtIKAYUGp1F1p4ACjeIhD4nEU&#10;m085PUZCYjdP7zvz5cW14kR9qD1ryIYKBHHpTc2Vht32+30CIkRkg61n0vBPAZaL15c55saf+Y9O&#10;RaxECuGQowYbY5dLGUpLDsPQd8SJ2/veYUywr6Tp8ZzCXStHSn1KhzWnBosdrSyVTXF0GibK/TbN&#10;dLQJbnzNPuzqy6+7g9Zvg0zNQES6xKf44f4xaf50DPdn0gVy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1z/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6"/>
                          <w:spacing w:before="0" w:beforeAutospacing="0" w:after="0" w:afterAutospacing="0"/>
                        </w:pPr>
                        <w:r>
                          <w:rPr>
                            <w:rFonts w:hAnsi="Calibri" w:asciiTheme="minorHAnsi" w:cstheme="minorBidi"/>
                            <w:color w:val="FFFFFF" w:themeColor="background1"/>
                            <w:kern w:val="24"/>
                            <w14:textFill>
                              <w14:solidFill>
                                <w14:schemeClr w14:val="bg1"/>
                              </w14:solidFill>
                            </w14:textFill>
                          </w:rPr>
                          <w:t>72%</w:t>
                        </w:r>
                      </w:p>
                    </w:txbxContent>
                  </v:textbox>
                </v:shape>
                <v:shape id="TextBox 2" o:spid="_x0000_s1026" o:spt="202" type="#_x0000_t202" style="position:absolute;left:2554559;top:1539754;height:297815;width:335915;mso-wrap-style:none;" filled="f" stroked="f" coordsize="21600,21600" o:gfxdata="UEsDBAoAAAAAAIdO4kAAAAAAAAAAAAAAAAAEAAAAZHJzL1BLAwQUAAAACACHTuJAW3HWZ7sAAADc&#10;AAAADwAAAGRycy9kb3ducmV2LnhtbEVPS27CMBDdI3EHayqxAzsIEKQ4WUCRuivQHmAUT+M08TiK&#10;XT49fY1Uqbt5et/ZljfXiQsNofGsIZspEMSVNw3XGj7eD9M1iBCRDXaeScOdApTFeLTF3Pgrn+hy&#10;jrVIIRxy1GBj7HMpQ2XJYZj5njhxn35wGBMcamkGvKZw18m5UivpsOHUYLGnnaWqPX87DWvl3tp2&#10;Mz8Gt/jJlna39y/9l9aTp0w9g4h0i//iP/erSfM3S3g8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HWZ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6"/>
                          <w:spacing w:before="0" w:beforeAutospacing="0" w:after="0" w:afterAutospacing="0"/>
                        </w:pPr>
                        <w:r>
                          <w:rPr>
                            <w:rFonts w:hint="eastAsia" w:hAnsi="等线" w:asciiTheme="minorHAnsi" w:cstheme="minorBidi"/>
                            <w:b/>
                            <w:bCs/>
                            <w:color w:val="FFFFFF" w:themeColor="background1"/>
                            <w:kern w:val="24"/>
                            <w14:textFill>
                              <w14:solidFill>
                                <w14:schemeClr w14:val="bg1"/>
                              </w14:solidFill>
                            </w14:textFill>
                          </w:rPr>
                          <w:t>有</w:t>
                        </w:r>
                      </w:p>
                    </w:txbxContent>
                  </v:textbox>
                </v:shape>
              </v:group>
            </w:pict>
          </mc:Fallback>
        </mc:AlternateContent>
      </w:r>
      <w:r>
        <w:rPr>
          <w:rFonts w:hint="eastAsia"/>
        </w:rPr>
        <mc:AlternateContent>
          <mc:Choice Requires="wpg">
            <w:drawing>
              <wp:anchor distT="0" distB="0" distL="114300" distR="114300" simplePos="0" relativeHeight="251660288" behindDoc="0" locked="0" layoutInCell="1" allowOverlap="1">
                <wp:simplePos x="0" y="0"/>
                <wp:positionH relativeFrom="column">
                  <wp:posOffset>1631315</wp:posOffset>
                </wp:positionH>
                <wp:positionV relativeFrom="paragraph">
                  <wp:posOffset>172085</wp:posOffset>
                </wp:positionV>
                <wp:extent cx="446405" cy="501015"/>
                <wp:effectExtent l="0" t="0" r="0" b="0"/>
                <wp:wrapNone/>
                <wp:docPr id="196" name="Group 196"/>
                <wp:cNvGraphicFramePr/>
                <a:graphic xmlns:a="http://schemas.openxmlformats.org/drawingml/2006/main">
                  <a:graphicData uri="http://schemas.microsoft.com/office/word/2010/wordprocessingGroup">
                    <wpg:wgp>
                      <wpg:cNvGrpSpPr/>
                      <wpg:grpSpPr>
                        <a:xfrm>
                          <a:off x="0" y="0"/>
                          <a:ext cx="446405" cy="501027"/>
                          <a:chOff x="1631516" y="1532498"/>
                          <a:chExt cx="446405" cy="501027"/>
                        </a:xfrm>
                      </wpg:grpSpPr>
                      <wps:wsp>
                        <wps:cNvPr id="197" name="TextBox 17"/>
                        <wps:cNvSpPr txBox="1"/>
                        <wps:spPr>
                          <a:xfrm>
                            <a:off x="1631516" y="1756030"/>
                            <a:ext cx="446405" cy="277495"/>
                          </a:xfrm>
                          <a:prstGeom prst="rect">
                            <a:avLst/>
                          </a:prstGeom>
                          <a:noFill/>
                        </wps:spPr>
                        <wps:txbx>
                          <w:txbxContent>
                            <w:p>
                              <w:pPr>
                                <w:pStyle w:val="16"/>
                                <w:spacing w:before="0" w:beforeAutospacing="0" w:after="0" w:afterAutospacing="0"/>
                              </w:pPr>
                              <w:r>
                                <w:rPr>
                                  <w:rFonts w:hAnsi="Calibri" w:asciiTheme="minorHAnsi" w:cstheme="minorBidi"/>
                                  <w:color w:val="FFFFFF" w:themeColor="background1"/>
                                  <w:kern w:val="24"/>
                                  <w14:textFill>
                                    <w14:solidFill>
                                      <w14:schemeClr w14:val="bg1"/>
                                    </w14:solidFill>
                                  </w14:textFill>
                                </w:rPr>
                                <w:t>28%</w:t>
                              </w:r>
                            </w:p>
                          </w:txbxContent>
                        </wps:txbx>
                        <wps:bodyPr wrap="none" rtlCol="0">
                          <a:spAutoFit/>
                        </wps:bodyPr>
                      </wps:wsp>
                      <wps:wsp>
                        <wps:cNvPr id="198" name="TextBox 5"/>
                        <wps:cNvSpPr txBox="1"/>
                        <wps:spPr>
                          <a:xfrm>
                            <a:off x="1697777" y="1532498"/>
                            <a:ext cx="335915" cy="297815"/>
                          </a:xfrm>
                          <a:prstGeom prst="rect">
                            <a:avLst/>
                          </a:prstGeom>
                          <a:noFill/>
                        </wps:spPr>
                        <wps:txbx>
                          <w:txbxContent>
                            <w:p>
                              <w:pPr>
                                <w:pStyle w:val="16"/>
                                <w:spacing w:before="0" w:beforeAutospacing="0" w:after="0" w:afterAutospacing="0"/>
                              </w:pPr>
                              <w:r>
                                <w:rPr>
                                  <w:rFonts w:hint="eastAsia" w:hAnsi="等线" w:asciiTheme="minorHAnsi" w:cstheme="minorBidi"/>
                                  <w:b/>
                                  <w:bCs/>
                                  <w:color w:val="FFFFFF" w:themeColor="background1"/>
                                  <w:kern w:val="24"/>
                                  <w14:textFill>
                                    <w14:solidFill>
                                      <w14:schemeClr w14:val="bg1"/>
                                    </w14:solidFill>
                                  </w14:textFill>
                                </w:rPr>
                                <w:t>无</w:t>
                              </w:r>
                            </w:p>
                          </w:txbxContent>
                        </wps:txbx>
                        <wps:bodyPr wrap="none" rtlCol="0">
                          <a:spAutoFit/>
                        </wps:bodyPr>
                      </wps:wsp>
                    </wpg:wgp>
                  </a:graphicData>
                </a:graphic>
              </wp:anchor>
            </w:drawing>
          </mc:Choice>
          <mc:Fallback>
            <w:pict>
              <v:group id="Group 196" o:spid="_x0000_s1026" o:spt="203" style="position:absolute;left:0pt;margin-left:128.45pt;margin-top:13.55pt;height:39.45pt;width:35.15pt;z-index:251660288;mso-width-relative:page;mso-height-relative:page;" coordorigin="1631516,1532498" coordsize="446405,501027" o:gfxdata="UEsDBAoAAAAAAIdO4kAAAAAAAAAAAAAAAAAEAAAAZHJzL1BLAwQUAAAACACHTuJAH8odJNoAAAAK&#10;AQAADwAAAGRycy9kb3ducmV2LnhtbE2PwUrDQBCG74LvsIzgze4mpanGbIoU9VQEW0G8bbPTJDQ7&#10;G7LbpH17x5O9zTAf/3x/sTq7Tow4hNaThmSmQCBV3rZUa/javT08ggjRkDWdJ9RwwQCr8vamMLn1&#10;E33iuI214BAKudHQxNjnUoaqQWfCzPdIfDv4wZnI61BLO5iJw10nU6Uy6UxL/KExPa4brI7bk9Pw&#10;PpnpZZ68jpvjYX352S0+vjcJan1/l6hnEBHP8R+GP31Wh5Kd9v5ENohOQ7rInhjlYZmAYGCeLlMQ&#10;eyZVpkCWhbyuUP4CUEsDBBQAAAAIAIdO4kBWRXwfQgIAACsGAAAOAAAAZHJzL2Uyb0RvYy54bWzV&#10;VNtu2zAMfR+wfxD0vviSOI6NOMW2rHkZtgJtP0CR5QtgS4KkxM7fj5Iv3dJiaDdgwPLgSBR1yHNI&#10;cXvTtw06M6VrwTMcLHyMGKcir3mZ4ceH2w8bjLQhPCeN4CzDF6bxze79u20nUxaKSjQ5UwhAuE47&#10;meHKGJl6nqYVa4leCMk4HBZCtcTAVpVerkgH6G3jhb6/9jqhcqkEZVqDdT8c4hFRvQZQFEVN2V7Q&#10;U8u4GVAVa4gBSrqqpcY7l21RMGq+F4VmBjUZBqbGfSEIrI/26+22JC0VkVVNxxTIa1K44tSSmkPQ&#10;GWpPDEEnVT+DamuqhBaFWVDRegMRpwiwCPwrbQ5KnKTjUqZdKWfRoVBXqv8xLP12vlOozqETkjVG&#10;nLRQchcXWQPI08kyBa+DkvfyTo2GcthZxn2hWvsPXFDvhL3MwrLeIArG1Wq98iOMKBxFwDOMB+Fp&#10;BdWxt4L1MogCSAAcgmgZrpLN5PHltxjelIBn85zT6iQ0p35STP+dYvcVkcwVQlstZsXiSbEHYPpJ&#10;9ChwxGx0cLN6IdODHUgNUupUg/EF2X4RII7W/nLszZckDON4lUQWcaZPUqm0OTDRIrvIsILWdx1J&#10;zl+1GVwnFxufi9u6aazdZjtkZVemP/auyDo9ivwCDDp4HRnmMAwwUqb5LNxTshhafjwZwHHw9vJw&#10;Y8QE/W33/JNCwMwaWncqhFPHBn9zHZIYfs8bcarDchklwdjKYRJvYP0/1ME9D5ghrmXGeWeH1M97&#10;V7enGb/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KHSTaAAAACgEAAA8AAAAAAAAAAQAgAAAA&#10;IgAAAGRycy9kb3ducmV2LnhtbFBLAQIUABQAAAAIAIdO4kBWRXwfQgIAACsGAAAOAAAAAAAAAAEA&#10;IAAAACkBAABkcnMvZTJvRG9jLnhtbFBLBQYAAAAABgAGAFkBAADdBQAAAAA=&#10;">
                <o:lock v:ext="edit" aspectratio="f"/>
                <v:shape id="TextBox 17" o:spid="_x0000_s1026" o:spt="202" type="#_x0000_t202" style="position:absolute;left:1631516;top:1756030;height:277495;width:446405;mso-wrap-style:none;" filled="f" stroked="f" coordsize="21600,21600" o:gfxdata="UEsDBAoAAAAAAIdO4kAAAAAAAAAAAAAAAAAEAAAAZHJzL1BLAwQUAAAACACHTuJAxO/ti7sAAADc&#10;AAAADwAAAGRycy9kb3ducmV2LnhtbEVPS27CMBDdI/UO1lTqDuygQiGNw4KC1B0t7QFG8TROE4+j&#10;2Px6eoxUid08ve8Uq7PrxJGG0HjWkE0UCOLKm4ZrDd9f2/ECRIjIBjvPpOFCAVblw6jA3PgTf9Jx&#10;H2uRQjjkqMHG2OdShsqSwzDxPXHifvzgMCY41NIMeErhrpNTpebSYcOpwWJPa0tVuz84DQvldm27&#10;nH4E9/yXzez6zW/6X62fHjP1CiLSOd7F/+53k+YvX+D2TLpAl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ti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6"/>
                          <w:spacing w:before="0" w:beforeAutospacing="0" w:after="0" w:afterAutospacing="0"/>
                        </w:pPr>
                        <w:r>
                          <w:rPr>
                            <w:rFonts w:hAnsi="Calibri" w:asciiTheme="minorHAnsi" w:cstheme="minorBidi"/>
                            <w:color w:val="FFFFFF" w:themeColor="background1"/>
                            <w:kern w:val="24"/>
                            <w14:textFill>
                              <w14:solidFill>
                                <w14:schemeClr w14:val="bg1"/>
                              </w14:solidFill>
                            </w14:textFill>
                          </w:rPr>
                          <w:t>28%</w:t>
                        </w:r>
                      </w:p>
                    </w:txbxContent>
                  </v:textbox>
                </v:shape>
                <v:shape id="TextBox 5" o:spid="_x0000_s1026" o:spt="202" type="#_x0000_t202" style="position:absolute;left:1697777;top:1532498;height:297815;width:335915;mso-wrap-style:none;" filled="f" stroked="f" coordsize="21600,21600" o:gfxdata="UEsDBAoAAAAAAIdO4kAAAAAAAAAAAAAAAAAEAAAAZHJzL1BLAwQUAAAACACHTuJAtXB5+b0AAADc&#10;AAAADwAAAGRycy9kb3ducmV2LnhtbEWPQW/CMAyF75P2HyIj7TaSom2CjsCBbRI3GPADrMZrShun&#10;ajJg/Hp8mMTN1nt+7/N8eQmdOtGQmsgWirEBRVxF13Bt4bD/ep6CShnZYReZLPxRguXi8WGOpYtn&#10;/qbTLtdKQjiVaMHn3Jdap8pTwDSOPbFoP3EImGUdau0GPEt46PTEmDcdsGFp8NjTylPV7n6DhakJ&#10;m7adTbYpvFyLV7/6iJ/90dqnUWHeQWW65Lv5/3rtBH8mtPKMTK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cHn5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16"/>
                          <w:spacing w:before="0" w:beforeAutospacing="0" w:after="0" w:afterAutospacing="0"/>
                        </w:pPr>
                        <w:r>
                          <w:rPr>
                            <w:rFonts w:hint="eastAsia" w:hAnsi="等线" w:asciiTheme="minorHAnsi" w:cstheme="minorBidi"/>
                            <w:b/>
                            <w:bCs/>
                            <w:color w:val="FFFFFF" w:themeColor="background1"/>
                            <w:kern w:val="24"/>
                            <w14:textFill>
                              <w14:solidFill>
                                <w14:schemeClr w14:val="bg1"/>
                              </w14:solidFill>
                            </w14:textFill>
                          </w:rPr>
                          <w:t>无</w:t>
                        </w:r>
                      </w:p>
                    </w:txbxContent>
                  </v:textbox>
                </v:shape>
              </v:group>
            </w:pict>
          </mc:Fallback>
        </mc:AlternateContent>
      </w:r>
    </w:p>
    <w:p>
      <w:pPr>
        <w:pStyle w:val="3"/>
      </w:pPr>
      <w:bookmarkStart w:id="31" w:name="_Toc519069689"/>
      <w:r>
        <w:rPr>
          <w:rFonts w:hint="eastAsia"/>
        </w:rPr>
        <w:t>人员配备情况</w:t>
      </w:r>
      <w:bookmarkEnd w:id="31"/>
    </w:p>
    <w:p>
      <w:pPr>
        <w:pStyle w:val="4"/>
        <w:numPr>
          <w:ilvl w:val="0"/>
          <w:numId w:val="5"/>
        </w:numPr>
      </w:pPr>
      <w:bookmarkStart w:id="32" w:name="_Toc519069690"/>
      <w:r>
        <w:t>员工人数</w:t>
      </w:r>
      <w:bookmarkEnd w:id="32"/>
    </w:p>
    <w:p>
      <w:r>
        <w:rPr>
          <w:rFonts w:hint="eastAsia"/>
        </w:rPr>
        <w:t>3</w:t>
      </w:r>
      <w:r>
        <w:t>48</w:t>
      </w:r>
      <w:r>
        <w:rPr>
          <w:rFonts w:hint="eastAsia"/>
        </w:rPr>
        <w:t>家接受调查的医院中，临床微生物实验室工作人员最少1人，最多8</w:t>
      </w:r>
      <w:r>
        <w:t>6</w:t>
      </w:r>
      <w:r>
        <w:rPr>
          <w:rFonts w:hint="eastAsia"/>
        </w:rPr>
        <w:t>人，平均配备员工1</w:t>
      </w:r>
      <w:r>
        <w:t>2.5</w:t>
      </w:r>
      <w:r>
        <w:rPr>
          <w:rFonts w:hint="eastAsia"/>
        </w:rPr>
        <w:t>人。微生物实验室中，可独立从事真菌检测的人员最少0人，最多2</w:t>
      </w:r>
      <w:r>
        <w:t>0</w:t>
      </w:r>
      <w:r>
        <w:rPr>
          <w:rFonts w:hint="eastAsia"/>
        </w:rPr>
        <w:t>人，平均人数为4</w:t>
      </w:r>
      <w:r>
        <w:t>.9</w:t>
      </w:r>
      <w:r>
        <w:rPr>
          <w:rFonts w:hint="eastAsia"/>
        </w:rPr>
        <w:t>人；</w:t>
      </w:r>
      <w:r>
        <w:t>7.5</w:t>
      </w:r>
      <w:r>
        <w:rPr>
          <w:rFonts w:hint="eastAsia"/>
        </w:rPr>
        <w:t>%的医院（n</w:t>
      </w:r>
      <w:r>
        <w:t>=26</w:t>
      </w:r>
      <w:r>
        <w:rPr>
          <w:rFonts w:hint="eastAsia"/>
        </w:rPr>
        <w:t>）具备1</w:t>
      </w:r>
      <w:r>
        <w:t>0</w:t>
      </w:r>
      <w:r>
        <w:rPr>
          <w:rFonts w:hint="eastAsia"/>
        </w:rPr>
        <w:t>人及以上员工可独立从事真菌检测。从与微生物组总人数的比例上看，能独立从事真菌检测工作的人数平均占微生物组总人数的5</w:t>
      </w:r>
      <w:r>
        <w:t>4</w:t>
      </w:r>
      <w:r>
        <w:rPr>
          <w:rFonts w:hint="eastAsia"/>
        </w:rPr>
        <w:t>%；2</w:t>
      </w:r>
      <w:r>
        <w:t>5</w:t>
      </w:r>
      <w:r>
        <w:rPr>
          <w:rFonts w:hint="eastAsia"/>
        </w:rPr>
        <w:t>%的医院（n=86）具备真菌检测能力的员工数占微生物组总人数</w:t>
      </w:r>
      <w:r>
        <w:t>80%</w:t>
      </w:r>
      <w:r>
        <w:rPr>
          <w:rFonts w:hint="eastAsia"/>
        </w:rPr>
        <w:t>以上。</w:t>
      </w:r>
    </w:p>
    <w:p/>
    <w:p>
      <w:pPr>
        <w:pStyle w:val="4"/>
      </w:pPr>
      <w:bookmarkStart w:id="33" w:name="_Toc519069691"/>
      <w:r>
        <w:rPr>
          <w:rFonts w:hint="eastAsia"/>
        </w:rPr>
        <w:t>员工构成</w:t>
      </w:r>
      <w:bookmarkEnd w:id="33"/>
    </w:p>
    <w:p>
      <w:r>
        <w:rPr>
          <w:rFonts w:hint="eastAsia"/>
        </w:rPr>
        <w:t>微生物组真菌检测人员构成情况如</w:t>
      </w:r>
      <w:r>
        <w:fldChar w:fldCharType="begin"/>
      </w:r>
      <w:r>
        <w:instrText xml:space="preserve"> </w:instrText>
      </w:r>
      <w:r>
        <w:rPr>
          <w:rFonts w:hint="eastAsia"/>
        </w:rPr>
        <w:instrText xml:space="preserve">REF _Ref517345396 \h</w:instrText>
      </w:r>
      <w:r>
        <w:instrText xml:space="preserve"> </w:instrText>
      </w:r>
      <w:r>
        <w:fldChar w:fldCharType="separate"/>
      </w:r>
      <w:r>
        <w:rPr>
          <w:rFonts w:hint="eastAsia"/>
        </w:rPr>
        <w:t xml:space="preserve">图 </w:t>
      </w:r>
      <w:r>
        <w:t>9</w:t>
      </w:r>
      <w:r>
        <w:fldChar w:fldCharType="end"/>
      </w:r>
      <w:r>
        <w:rPr>
          <w:rFonts w:hint="eastAsia"/>
        </w:rPr>
        <w:t>所示。微生物组总员工中，实习进修医师比例较高，占3</w:t>
      </w:r>
      <w:r>
        <w:t>4</w:t>
      </w:r>
      <w:r>
        <w:rPr>
          <w:rFonts w:hint="eastAsia"/>
        </w:rPr>
        <w:t>%；此外，4</w:t>
      </w:r>
      <w:r>
        <w:t>6</w:t>
      </w:r>
      <w:r>
        <w:rPr>
          <w:rFonts w:hint="eastAsia"/>
        </w:rPr>
        <w:t>%</w:t>
      </w:r>
      <w:r>
        <w:t xml:space="preserve"> </w:t>
      </w:r>
      <w:r>
        <w:rPr>
          <w:rFonts w:hint="eastAsia"/>
        </w:rPr>
        <w:t>为正式职工，1</w:t>
      </w:r>
      <w:r>
        <w:t>6</w:t>
      </w:r>
      <w:r>
        <w:rPr>
          <w:rFonts w:hint="eastAsia"/>
        </w:rPr>
        <w:t>%</w:t>
      </w:r>
      <w:r>
        <w:t xml:space="preserve"> </w:t>
      </w:r>
      <w:r>
        <w:rPr>
          <w:rFonts w:hint="eastAsia"/>
        </w:rPr>
        <w:t>为合同职工。能够独立从事真菌检测工作的员工中以正式职工为主，占7</w:t>
      </w:r>
      <w:r>
        <w:t>6</w:t>
      </w:r>
      <w:r>
        <w:rPr>
          <w:rFonts w:hint="eastAsia"/>
        </w:rPr>
        <w:t>%；合同职工占1</w:t>
      </w:r>
      <w:r>
        <w:t>8</w:t>
      </w:r>
      <w:r>
        <w:rPr>
          <w:rFonts w:hint="eastAsia"/>
        </w:rPr>
        <w:t>%；实习进修和住院医师仅占6%。两组人员中，退休返聘人员比例均较低，不足1%。</w:t>
      </w:r>
    </w:p>
    <w:p>
      <w:pPr>
        <w:jc w:val="center"/>
      </w:pPr>
      <w:r>
        <w:drawing>
          <wp:inline distT="0" distB="0" distL="0" distR="0">
            <wp:extent cx="4685665" cy="1524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02685" cy="1529447"/>
                    </a:xfrm>
                    <a:prstGeom prst="rect">
                      <a:avLst/>
                    </a:prstGeom>
                    <a:noFill/>
                  </pic:spPr>
                </pic:pic>
              </a:graphicData>
            </a:graphic>
          </wp:inline>
        </w:drawing>
      </w:r>
    </w:p>
    <w:p>
      <w:pPr>
        <w:pStyle w:val="6"/>
      </w:pPr>
      <w:bookmarkStart w:id="34" w:name="_Ref517345396"/>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bookmarkEnd w:id="34"/>
      <w:r>
        <w:t xml:space="preserve">   </w:t>
      </w:r>
      <w:r>
        <w:rPr>
          <w:rFonts w:hint="eastAsia"/>
        </w:rPr>
        <w:t>微生物组真菌检测人员构成情况</w:t>
      </w:r>
    </w:p>
    <w:p/>
    <w:p>
      <w:pPr>
        <w:pStyle w:val="4"/>
      </w:pPr>
      <w:bookmarkStart w:id="35" w:name="_Toc519069692"/>
      <w:r>
        <w:rPr>
          <w:rFonts w:hint="eastAsia"/>
        </w:rPr>
        <w:t>学历构成</w:t>
      </w:r>
      <w:bookmarkEnd w:id="35"/>
    </w:p>
    <w:p>
      <w:r>
        <w:rPr>
          <w:rFonts w:hint="eastAsia"/>
        </w:rPr>
        <w:t>此次调查显示，3</w:t>
      </w:r>
      <w:r>
        <w:t>48</w:t>
      </w:r>
      <w:r>
        <w:rPr>
          <w:rFonts w:hint="eastAsia"/>
        </w:rPr>
        <w:t>家三甲医院中真菌检测人员的总体受教育水平较高，本科及以上学历者达8</w:t>
      </w:r>
      <w:r>
        <w:t>8%</w:t>
      </w:r>
      <w:r>
        <w:rPr>
          <w:rFonts w:hint="eastAsia"/>
        </w:rPr>
        <w:t>（</w:t>
      </w:r>
      <w:r>
        <w:fldChar w:fldCharType="begin"/>
      </w:r>
      <w:r>
        <w:instrText xml:space="preserve"> </w:instrText>
      </w:r>
      <w:r>
        <w:rPr>
          <w:rFonts w:hint="eastAsia"/>
        </w:rPr>
        <w:instrText xml:space="preserve">REF _Ref521337679 \h</w:instrText>
      </w:r>
      <w:r>
        <w:instrText xml:space="preserve"> </w:instrText>
      </w:r>
      <w:r>
        <w:fldChar w:fldCharType="separate"/>
      </w:r>
      <w:r>
        <w:rPr>
          <w:rFonts w:hint="eastAsia"/>
        </w:rPr>
        <w:t xml:space="preserve">图 </w:t>
      </w:r>
      <w:r>
        <w:t>10</w:t>
      </w:r>
      <w:r>
        <w:fldChar w:fldCharType="end"/>
      </w:r>
      <w:r>
        <w:rPr>
          <w:rFonts w:hint="eastAsia"/>
        </w:rPr>
        <w:t>）：5</w:t>
      </w:r>
      <w:r>
        <w:t>1</w:t>
      </w:r>
      <w:r>
        <w:rPr>
          <w:rFonts w:hint="eastAsia"/>
        </w:rPr>
        <w:t>%</w:t>
      </w:r>
      <w:r>
        <w:t xml:space="preserve"> </w:t>
      </w:r>
      <w:r>
        <w:rPr>
          <w:rFonts w:hint="eastAsia"/>
        </w:rPr>
        <w:t>拥有本科学历，3</w:t>
      </w:r>
      <w:r>
        <w:t>0</w:t>
      </w:r>
      <w:r>
        <w:rPr>
          <w:rFonts w:hint="eastAsia"/>
        </w:rPr>
        <w:t>%</w:t>
      </w:r>
      <w:r>
        <w:t xml:space="preserve"> </w:t>
      </w:r>
      <w:r>
        <w:rPr>
          <w:rFonts w:hint="eastAsia"/>
        </w:rPr>
        <w:t>拥有硕士学历，7%</w:t>
      </w:r>
      <w:r>
        <w:t xml:space="preserve"> </w:t>
      </w:r>
      <w:r>
        <w:rPr>
          <w:rFonts w:hint="eastAsia"/>
        </w:rPr>
        <w:t>拥有博士学历。</w:t>
      </w:r>
    </w:p>
    <w:p>
      <w:pPr>
        <w:jc w:val="center"/>
      </w:pPr>
      <w:r>
        <w:drawing>
          <wp:inline distT="0" distB="0" distL="0" distR="0">
            <wp:extent cx="3182620" cy="17068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82620" cy="1706880"/>
                    </a:xfrm>
                    <a:prstGeom prst="rect">
                      <a:avLst/>
                    </a:prstGeom>
                    <a:noFill/>
                  </pic:spPr>
                </pic:pic>
              </a:graphicData>
            </a:graphic>
          </wp:inline>
        </w:drawing>
      </w:r>
    </w:p>
    <w:p>
      <w:pPr>
        <w:pStyle w:val="6"/>
      </w:pPr>
      <w:bookmarkStart w:id="36" w:name="_Ref52133767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10</w:t>
      </w:r>
      <w:r>
        <w:fldChar w:fldCharType="end"/>
      </w:r>
      <w:bookmarkEnd w:id="36"/>
      <w:r>
        <w:t xml:space="preserve">   </w:t>
      </w:r>
      <w:r>
        <w:rPr>
          <w:rFonts w:hint="eastAsia"/>
        </w:rPr>
        <w:t>真菌检测人员学历构成</w:t>
      </w:r>
    </w:p>
    <w:p/>
    <w:p>
      <w:pPr>
        <w:pStyle w:val="3"/>
      </w:pPr>
      <w:bookmarkStart w:id="37" w:name="_Toc519069693"/>
      <w:r>
        <w:rPr>
          <w:rFonts w:hint="eastAsia"/>
        </w:rPr>
        <w:t>真菌检测量</w:t>
      </w:r>
      <w:bookmarkEnd w:id="37"/>
    </w:p>
    <w:p>
      <w:pPr>
        <w:pStyle w:val="4"/>
        <w:numPr>
          <w:ilvl w:val="0"/>
          <w:numId w:val="6"/>
        </w:numPr>
      </w:pPr>
      <w:bookmarkStart w:id="38" w:name="_Toc519069694"/>
      <w:r>
        <w:rPr>
          <w:rFonts w:hint="eastAsia"/>
        </w:rPr>
        <w:t>真菌检测送检量</w:t>
      </w:r>
      <w:bookmarkEnd w:id="38"/>
    </w:p>
    <w:p>
      <w:r>
        <w:rPr>
          <w:rFonts w:hint="eastAsia"/>
        </w:rPr>
        <w:t>此次基线调研从真菌培养、真菌涂片镜检、真菌血清检测和真菌药敏试验四方面统计了各医院2</w:t>
      </w:r>
      <w:r>
        <w:t>017</w:t>
      </w:r>
      <w:r>
        <w:rPr>
          <w:rFonts w:hint="eastAsia"/>
        </w:rPr>
        <w:t>年全年的送检量。统计结果显示，四项检测中，真菌培养送检量最高，平均每家医院年送检量为7</w:t>
      </w:r>
      <w:r>
        <w:t>022</w:t>
      </w:r>
      <w:r>
        <w:rPr>
          <w:rFonts w:hint="eastAsia"/>
        </w:rPr>
        <w:t>件；其次是真菌涂片镜检和真菌血清检测；相对而言，真菌药敏试验送检量较少（2</w:t>
      </w:r>
      <w:r>
        <w:t>508</w:t>
      </w:r>
      <w:r>
        <w:rPr>
          <w:rFonts w:hint="eastAsia"/>
        </w:rPr>
        <w:t>件），仅为真菌培养量的3</w:t>
      </w:r>
      <w:r>
        <w:t>6</w:t>
      </w:r>
      <w:r>
        <w:rPr>
          <w:rFonts w:hint="eastAsia"/>
        </w:rPr>
        <w:t>%（</w:t>
      </w:r>
      <w:r>
        <w:fldChar w:fldCharType="begin"/>
      </w:r>
      <w:r>
        <w:instrText xml:space="preserve"> </w:instrText>
      </w:r>
      <w:r>
        <w:rPr>
          <w:rFonts w:hint="eastAsia"/>
        </w:rPr>
        <w:instrText xml:space="preserve">REF _Ref517105563 \h</w:instrText>
      </w:r>
      <w:r>
        <w:instrText xml:space="preserve"> </w:instrText>
      </w:r>
      <w:r>
        <w:fldChar w:fldCharType="separate"/>
      </w:r>
      <w:r>
        <w:rPr>
          <w:rFonts w:hint="eastAsia"/>
        </w:rPr>
        <w:t xml:space="preserve">图 </w:t>
      </w:r>
      <w:r>
        <w:t>11</w:t>
      </w:r>
      <w:r>
        <w:fldChar w:fldCharType="end"/>
      </w:r>
      <w:r>
        <w:rPr>
          <w:rFonts w:hint="eastAsia"/>
        </w:rPr>
        <w:t>）。</w:t>
      </w:r>
    </w:p>
    <w:p>
      <w:pPr>
        <w:jc w:val="center"/>
      </w:pPr>
      <w:r>
        <w:drawing>
          <wp:inline distT="0" distB="0" distL="0" distR="0">
            <wp:extent cx="5014595" cy="1913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36346" cy="1922095"/>
                    </a:xfrm>
                    <a:prstGeom prst="rect">
                      <a:avLst/>
                    </a:prstGeom>
                    <a:noFill/>
                  </pic:spPr>
                </pic:pic>
              </a:graphicData>
            </a:graphic>
          </wp:inline>
        </w:drawing>
      </w:r>
    </w:p>
    <w:p>
      <w:pPr>
        <w:pStyle w:val="6"/>
      </w:pPr>
      <w:bookmarkStart w:id="39" w:name="_Ref517105563"/>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w:t>
      </w:r>
      <w:r>
        <w:fldChar w:fldCharType="end"/>
      </w:r>
      <w:bookmarkEnd w:id="39"/>
      <w:r>
        <w:t xml:space="preserve">   2017</w:t>
      </w:r>
      <w:r>
        <w:rPr>
          <w:rFonts w:hint="eastAsia"/>
        </w:rPr>
        <w:t>年平均每家医院真菌检测各项目送检量</w:t>
      </w:r>
    </w:p>
    <w:p/>
    <w:p>
      <w:r>
        <w:rPr>
          <w:rFonts w:hint="eastAsia"/>
        </w:rPr>
        <w:t>医院间的真菌检测送检量差异较大（</w:t>
      </w:r>
      <w:r>
        <w:fldChar w:fldCharType="begin"/>
      </w:r>
      <w:r>
        <w:instrText xml:space="preserve"> </w:instrText>
      </w:r>
      <w:r>
        <w:rPr>
          <w:rFonts w:hint="eastAsia"/>
        </w:rPr>
        <w:instrText xml:space="preserve">REF _Ref517352449 \h</w:instrText>
      </w:r>
      <w:r>
        <w:instrText xml:space="preserve"> </w:instrText>
      </w:r>
      <w:r>
        <w:fldChar w:fldCharType="separate"/>
      </w:r>
      <w:r>
        <w:rPr>
          <w:rFonts w:hint="eastAsia"/>
        </w:rPr>
        <w:t xml:space="preserve">图 </w:t>
      </w:r>
      <w:r>
        <w:t>12</w:t>
      </w:r>
      <w:r>
        <w:fldChar w:fldCharType="end"/>
      </w:r>
      <w:r>
        <w:rPr>
          <w:rFonts w:hint="eastAsia"/>
        </w:rPr>
        <w:t>）。以真菌涂片送检量为例，</w:t>
      </w:r>
      <w:r>
        <w:t>348</w:t>
      </w:r>
      <w:r>
        <w:rPr>
          <w:rFonts w:hint="eastAsia"/>
        </w:rPr>
        <w:t>家参与调查的医院中，有4</w:t>
      </w:r>
      <w:r>
        <w:t>0</w:t>
      </w:r>
      <w:r>
        <w:rPr>
          <w:rFonts w:hint="eastAsia"/>
        </w:rPr>
        <w:t>家医院的年送检量不足1</w:t>
      </w:r>
      <w:r>
        <w:t>00</w:t>
      </w:r>
      <w:r>
        <w:rPr>
          <w:rFonts w:hint="eastAsia"/>
        </w:rPr>
        <w:t>件；与之相反，4</w:t>
      </w:r>
      <w:r>
        <w:t>5</w:t>
      </w:r>
      <w:r>
        <w:rPr>
          <w:rFonts w:hint="eastAsia"/>
        </w:rPr>
        <w:t>家医院的年送检量则超过1万件，最高达2</w:t>
      </w:r>
      <w:r>
        <w:t>3</w:t>
      </w:r>
      <w:r>
        <w:rPr>
          <w:rFonts w:hint="eastAsia"/>
        </w:rPr>
        <w:t>万。其他三项检测的送检量情况也类似，虽然多数医院的真菌送检量在千例或百例级别，但是部分医院间的送检量差异可高达六个数量级。</w:t>
      </w:r>
    </w:p>
    <w:p>
      <w:r>
        <w:rPr>
          <w:rFonts w:hint="eastAsia"/>
        </w:rPr>
        <w:t>不同等级城市间的真菌送检量差异也较大。一线城市的送检量相对较高，其中培养、涂片镜检、血清测试年送检量在1万例以上的医院比例高于二线及以上城市（</w:t>
      </w:r>
      <w:r>
        <w:fldChar w:fldCharType="begin"/>
      </w:r>
      <w:r>
        <w:instrText xml:space="preserve"> </w:instrText>
      </w:r>
      <w:r>
        <w:rPr>
          <w:rFonts w:hint="eastAsia"/>
        </w:rPr>
        <w:instrText xml:space="preserve">REF _Ref518378603 \h</w:instrText>
      </w:r>
      <w:r>
        <w:instrText xml:space="preserve"> </w:instrText>
      </w:r>
      <w:r>
        <w:fldChar w:fldCharType="separate"/>
      </w:r>
      <w:r>
        <w:rPr>
          <w:rFonts w:hint="eastAsia"/>
        </w:rPr>
        <w:t xml:space="preserve">图 </w:t>
      </w:r>
      <w:r>
        <w:t>13</w:t>
      </w:r>
      <w:r>
        <w:fldChar w:fldCharType="end"/>
      </w:r>
      <w:r>
        <w:rPr>
          <w:rFonts w:hint="eastAsia"/>
        </w:rPr>
        <w:t>）。</w:t>
      </w:r>
    </w:p>
    <w:p>
      <w:pPr>
        <w:ind w:firstLine="0"/>
      </w:pPr>
      <w:r>
        <w:drawing>
          <wp:inline distT="0" distB="0" distL="0" distR="0">
            <wp:extent cx="5880735" cy="1966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a:extLst>
                        <a:ext uri="{28A0092B-C50C-407E-A947-70E740481C1C}">
                          <a14:useLocalDpi xmlns:a14="http://schemas.microsoft.com/office/drawing/2010/main" val="0"/>
                        </a:ext>
                      </a:extLst>
                    </a:blip>
                    <a:srcRect t="8572" b="3309"/>
                    <a:stretch>
                      <a:fillRect/>
                    </a:stretch>
                  </pic:blipFill>
                  <pic:spPr>
                    <a:xfrm>
                      <a:off x="0" y="0"/>
                      <a:ext cx="5893425" cy="1971111"/>
                    </a:xfrm>
                    <a:prstGeom prst="rect">
                      <a:avLst/>
                    </a:prstGeom>
                    <a:noFill/>
                    <a:ln>
                      <a:noFill/>
                    </a:ln>
                  </pic:spPr>
                </pic:pic>
              </a:graphicData>
            </a:graphic>
          </wp:inline>
        </w:drawing>
      </w:r>
    </w:p>
    <w:p>
      <w:pPr>
        <w:pStyle w:val="6"/>
      </w:pPr>
      <w:bookmarkStart w:id="40" w:name="_Ref51735244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12</w:t>
      </w:r>
      <w:r>
        <w:fldChar w:fldCharType="end"/>
      </w:r>
      <w:bookmarkEnd w:id="40"/>
      <w:r>
        <w:t xml:space="preserve">   </w:t>
      </w:r>
      <w:r>
        <w:rPr>
          <w:rFonts w:hint="eastAsia"/>
        </w:rPr>
        <w:t>医院间的真菌检测送检量差异较大</w:t>
      </w:r>
    </w:p>
    <w:p/>
    <w:p>
      <w:pPr>
        <w:ind w:firstLine="0"/>
      </w:pPr>
      <w:r>
        <w:drawing>
          <wp:inline distT="0" distB="0" distL="0" distR="0">
            <wp:extent cx="6294120" cy="2955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10282" cy="2963261"/>
                    </a:xfrm>
                    <a:prstGeom prst="rect">
                      <a:avLst/>
                    </a:prstGeom>
                    <a:noFill/>
                  </pic:spPr>
                </pic:pic>
              </a:graphicData>
            </a:graphic>
          </wp:inline>
        </w:drawing>
      </w:r>
    </w:p>
    <w:p>
      <w:pPr>
        <w:pStyle w:val="6"/>
      </w:pPr>
      <w:bookmarkStart w:id="41" w:name="_Ref518378603"/>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13</w:t>
      </w:r>
      <w:r>
        <w:fldChar w:fldCharType="end"/>
      </w:r>
      <w:bookmarkEnd w:id="41"/>
      <w:r>
        <w:t xml:space="preserve">   </w:t>
      </w:r>
      <w:r>
        <w:rPr>
          <w:rFonts w:hint="eastAsia"/>
        </w:rPr>
        <w:t>不同等级城市间的真菌送检量差异大</w:t>
      </w:r>
    </w:p>
    <w:p>
      <w:pPr>
        <w:ind w:firstLine="0"/>
      </w:pPr>
    </w:p>
    <w:p>
      <w:r>
        <w:rPr>
          <w:rFonts w:hint="eastAsia"/>
        </w:rPr>
        <w:t>此外，不同地区间的各项真菌检测送检量差异也较大。如</w:t>
      </w:r>
      <w:r>
        <w:fldChar w:fldCharType="begin"/>
      </w:r>
      <w:r>
        <w:instrText xml:space="preserve"> </w:instrText>
      </w:r>
      <w:r>
        <w:rPr>
          <w:rFonts w:hint="eastAsia"/>
        </w:rPr>
        <w:instrText xml:space="preserve">REF _Ref517354010 \h</w:instrText>
      </w:r>
      <w:r>
        <w:instrText xml:space="preserve"> </w:instrText>
      </w:r>
      <w:r>
        <w:fldChar w:fldCharType="separate"/>
      </w:r>
      <w:r>
        <w:rPr>
          <w:rFonts w:hint="eastAsia"/>
        </w:rPr>
        <w:t xml:space="preserve">图 </w:t>
      </w:r>
      <w:r>
        <w:t>14</w:t>
      </w:r>
      <w:r>
        <w:fldChar w:fldCharType="end"/>
      </w:r>
      <w:r>
        <w:rPr>
          <w:rFonts w:hint="eastAsia"/>
        </w:rPr>
        <w:t>所示，在真菌培养、涂片镜检、血清学检测方面，中南地区的送检量中位数均明显高于其他三个地区；其中，真菌培养量是北部地区的5倍，血清检测量约为其4倍。在真菌药敏试验方面，华东和中南地区送检量较大，约为北部和西部地区的2</w:t>
      </w:r>
      <w:r>
        <w:rPr>
          <w:rFonts w:cs="Arial"/>
        </w:rPr>
        <w:t>−</w:t>
      </w:r>
      <w:r>
        <w:t>3</w:t>
      </w:r>
      <w:r>
        <w:rPr>
          <w:rFonts w:hint="eastAsia"/>
        </w:rPr>
        <w:t>倍。四项真菌检测项目中，北部地区的送检量均较低。</w:t>
      </w:r>
    </w:p>
    <w:p>
      <w:pPr>
        <w:jc w:val="center"/>
      </w:pPr>
      <w:r>
        <w:drawing>
          <wp:inline distT="0" distB="0" distL="0" distR="0">
            <wp:extent cx="4827270" cy="2333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60099" cy="2349196"/>
                    </a:xfrm>
                    <a:prstGeom prst="rect">
                      <a:avLst/>
                    </a:prstGeom>
                    <a:noFill/>
                  </pic:spPr>
                </pic:pic>
              </a:graphicData>
            </a:graphic>
          </wp:inline>
        </w:drawing>
      </w:r>
    </w:p>
    <w:p>
      <w:pPr>
        <w:pStyle w:val="6"/>
      </w:pPr>
      <w:bookmarkStart w:id="42" w:name="_Ref517354010"/>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14</w:t>
      </w:r>
      <w:r>
        <w:fldChar w:fldCharType="end"/>
      </w:r>
      <w:bookmarkEnd w:id="42"/>
      <w:r>
        <w:t xml:space="preserve">   </w:t>
      </w:r>
      <w:r>
        <w:rPr>
          <w:rFonts w:hint="eastAsia"/>
        </w:rPr>
        <w:t>各地区各项真菌检测送检量中位数</w:t>
      </w:r>
    </w:p>
    <w:p>
      <w:pPr>
        <w:ind w:firstLine="0"/>
      </w:pPr>
    </w:p>
    <w:p>
      <w:pPr>
        <w:pStyle w:val="4"/>
      </w:pPr>
      <w:bookmarkStart w:id="43" w:name="_Toc519069695"/>
      <w:r>
        <w:rPr>
          <w:rFonts w:hint="eastAsia"/>
        </w:rPr>
        <w:t>菌株保留期限</w:t>
      </w:r>
      <w:bookmarkEnd w:id="43"/>
    </w:p>
    <w:p>
      <w:r>
        <w:rPr>
          <w:rFonts w:hint="eastAsia"/>
        </w:rPr>
        <w:t>受调查的3</w:t>
      </w:r>
      <w:r>
        <w:t>48</w:t>
      </w:r>
      <w:r>
        <w:rPr>
          <w:rFonts w:hint="eastAsia"/>
        </w:rPr>
        <w:t>家医院中，4</w:t>
      </w:r>
      <w:r>
        <w:t>9</w:t>
      </w:r>
      <w:r>
        <w:rPr>
          <w:rFonts w:hint="eastAsia"/>
        </w:rPr>
        <w:t>%的医院不保留酵母菌菌株，长期保留菌株（一年以上）的医院仅占2</w:t>
      </w:r>
      <w:r>
        <w:t>2</w:t>
      </w:r>
      <w:r>
        <w:rPr>
          <w:rFonts w:hint="eastAsia"/>
        </w:rPr>
        <w:t>%</w:t>
      </w:r>
      <w:r>
        <w:t xml:space="preserve"> </w:t>
      </w:r>
      <w:r>
        <w:rPr>
          <w:rFonts w:hint="eastAsia"/>
        </w:rPr>
        <w:t>（</w:t>
      </w:r>
      <w:r>
        <w:fldChar w:fldCharType="begin"/>
      </w:r>
      <w:r>
        <w:instrText xml:space="preserve"> </w:instrText>
      </w:r>
      <w:r>
        <w:rPr>
          <w:rFonts w:hint="eastAsia"/>
        </w:rPr>
        <w:instrText xml:space="preserve">REF _Ref521338706 \h</w:instrText>
      </w:r>
      <w:r>
        <w:instrText xml:space="preserve"> </w:instrText>
      </w:r>
      <w:r>
        <w:fldChar w:fldCharType="separate"/>
      </w:r>
      <w:r>
        <w:rPr>
          <w:rFonts w:hint="eastAsia"/>
        </w:rPr>
        <w:t xml:space="preserve">图 </w:t>
      </w:r>
      <w:r>
        <w:t>15</w:t>
      </w:r>
      <w:r>
        <w:fldChar w:fldCharType="end"/>
      </w:r>
      <w:r>
        <w:rPr>
          <w:rFonts w:hint="eastAsia"/>
        </w:rPr>
        <w:t>）。与酵母菌相比，丝状真菌菌株的保留情况更低：6</w:t>
      </w:r>
      <w:r>
        <w:t>8</w:t>
      </w:r>
      <w:r>
        <w:rPr>
          <w:rFonts w:hint="eastAsia"/>
        </w:rPr>
        <w:t>%的医院不保留菌株，仅1</w:t>
      </w:r>
      <w:r>
        <w:t>2</w:t>
      </w:r>
      <w:r>
        <w:rPr>
          <w:rFonts w:hint="eastAsia"/>
        </w:rPr>
        <w:t>%的医院保留超过一年。</w:t>
      </w:r>
    </w:p>
    <w:p>
      <w:pPr>
        <w:jc w:val="center"/>
      </w:pPr>
      <w:r>
        <w:drawing>
          <wp:inline distT="0" distB="0" distL="0" distR="0">
            <wp:extent cx="5393055" cy="24580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00063" cy="2461122"/>
                    </a:xfrm>
                    <a:prstGeom prst="rect">
                      <a:avLst/>
                    </a:prstGeom>
                    <a:noFill/>
                  </pic:spPr>
                </pic:pic>
              </a:graphicData>
            </a:graphic>
          </wp:inline>
        </w:drawing>
      </w:r>
    </w:p>
    <w:p>
      <w:pPr>
        <w:pStyle w:val="6"/>
      </w:pPr>
      <w:bookmarkStart w:id="44" w:name="_Ref521338706"/>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15</w:t>
      </w:r>
      <w:r>
        <w:fldChar w:fldCharType="end"/>
      </w:r>
      <w:bookmarkEnd w:id="44"/>
      <w:r>
        <w:t xml:space="preserve">   </w:t>
      </w:r>
      <w:r>
        <w:rPr>
          <w:rFonts w:hint="eastAsia"/>
        </w:rPr>
        <w:t>真菌菌株保留期限</w:t>
      </w:r>
    </w:p>
    <w:p/>
    <w:p>
      <w:r>
        <w:rPr>
          <w:rFonts w:hint="eastAsia"/>
        </w:rPr>
        <w:t>临床菌株的保留与否和真菌检测室是否参与科学研究有较大的关系。如</w:t>
      </w:r>
      <w:r>
        <w:fldChar w:fldCharType="begin"/>
      </w:r>
      <w:r>
        <w:instrText xml:space="preserve"> </w:instrText>
      </w:r>
      <w:r>
        <w:rPr>
          <w:rFonts w:hint="eastAsia"/>
        </w:rPr>
        <w:instrText xml:space="preserve">REF _Ref517194602 \h</w:instrText>
      </w:r>
      <w:r>
        <w:instrText xml:space="preserve"> </w:instrText>
      </w:r>
      <w:r>
        <w:fldChar w:fldCharType="separate"/>
      </w:r>
      <w:r>
        <w:rPr>
          <w:rFonts w:hint="eastAsia"/>
        </w:rPr>
        <w:t xml:space="preserve">图 </w:t>
      </w:r>
      <w:r>
        <w:t>16</w:t>
      </w:r>
      <w:r>
        <w:fldChar w:fldCharType="end"/>
      </w:r>
      <w:r>
        <w:rPr>
          <w:rFonts w:hint="eastAsia"/>
        </w:rPr>
        <w:t>所示，参与科研的医院保存菌株的比例明显提高，且长期保留菌株的比例更高（酵母菌：3</w:t>
      </w:r>
      <w:r>
        <w:t>8% vs. 14%</w:t>
      </w:r>
      <w:r>
        <w:rPr>
          <w:rFonts w:hint="eastAsia"/>
        </w:rPr>
        <w:t>；丝状真菌：2</w:t>
      </w:r>
      <w:r>
        <w:t>2</w:t>
      </w:r>
      <w:r>
        <w:rPr>
          <w:rFonts w:hint="eastAsia"/>
        </w:rPr>
        <w:t>%</w:t>
      </w:r>
      <w:r>
        <w:t xml:space="preserve"> </w:t>
      </w:r>
      <w:r>
        <w:rPr>
          <w:rFonts w:hint="eastAsia"/>
        </w:rPr>
        <w:t>vs</w:t>
      </w:r>
      <w:r>
        <w:t>. 8%</w:t>
      </w:r>
      <w:r>
        <w:rPr>
          <w:rFonts w:hint="eastAsia"/>
        </w:rPr>
        <w:t>）。</w:t>
      </w:r>
    </w:p>
    <w:p>
      <w:pPr>
        <w:ind w:firstLine="0"/>
      </w:pPr>
      <w:r>
        <w:t xml:space="preserve">     </w:t>
      </w:r>
      <w:r>
        <w:drawing>
          <wp:inline distT="0" distB="0" distL="0" distR="0">
            <wp:extent cx="5510530" cy="306260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r:embed="rId22">
                      <a:extLst>
                        <a:ext uri="{28A0092B-C50C-407E-A947-70E740481C1C}">
                          <a14:useLocalDpi xmlns:a14="http://schemas.microsoft.com/office/drawing/2010/main" val="0"/>
                        </a:ext>
                      </a:extLst>
                    </a:blip>
                    <a:srcRect t="3029"/>
                    <a:stretch>
                      <a:fillRect/>
                    </a:stretch>
                  </pic:blipFill>
                  <pic:spPr>
                    <a:xfrm>
                      <a:off x="0" y="0"/>
                      <a:ext cx="5520697" cy="3068288"/>
                    </a:xfrm>
                    <a:prstGeom prst="rect">
                      <a:avLst/>
                    </a:prstGeom>
                    <a:noFill/>
                    <a:ln>
                      <a:noFill/>
                    </a:ln>
                  </pic:spPr>
                </pic:pic>
              </a:graphicData>
            </a:graphic>
          </wp:inline>
        </w:drawing>
      </w:r>
    </w:p>
    <w:p>
      <w:pPr>
        <w:pStyle w:val="6"/>
      </w:pPr>
      <w:bookmarkStart w:id="45" w:name="_Ref51719460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16</w:t>
      </w:r>
      <w:r>
        <w:fldChar w:fldCharType="end"/>
      </w:r>
      <w:bookmarkEnd w:id="45"/>
      <w:r>
        <w:t xml:space="preserve">   </w:t>
      </w:r>
      <w:r>
        <w:rPr>
          <w:rFonts w:hint="eastAsia"/>
        </w:rPr>
        <w:t>参加科研的医院通常保留真菌菌株时间较长</w:t>
      </w:r>
    </w:p>
    <w:p/>
    <w:p>
      <w:r>
        <w:rPr>
          <w:rFonts w:hint="eastAsia"/>
        </w:rPr>
        <w:t>此外，医院规模大小对菌株的保留期限有较大的影响。以酵母菌为例（</w:t>
      </w:r>
      <w:r>
        <w:fldChar w:fldCharType="begin"/>
      </w:r>
      <w:r>
        <w:instrText xml:space="preserve"> </w:instrText>
      </w:r>
      <w:r>
        <w:rPr>
          <w:rFonts w:hint="eastAsia"/>
        </w:rPr>
        <w:instrText xml:space="preserve">REF _Ref517196071 \h</w:instrText>
      </w:r>
      <w:r>
        <w:instrText xml:space="preserve"> </w:instrText>
      </w:r>
      <w:r>
        <w:fldChar w:fldCharType="separate"/>
      </w:r>
      <w:r>
        <w:rPr>
          <w:rFonts w:hint="eastAsia"/>
        </w:rPr>
        <w:t xml:space="preserve">图 </w:t>
      </w:r>
      <w:r>
        <w:t>17</w:t>
      </w:r>
      <w:r>
        <w:fldChar w:fldCharType="end"/>
      </w:r>
      <w:r>
        <w:rPr>
          <w:rFonts w:hint="eastAsia"/>
        </w:rPr>
        <w:t>，左），随着医院规模的增加，虽然保留菌株的医院比例基本持平（均在4</w:t>
      </w:r>
      <w:r>
        <w:t>8</w:t>
      </w:r>
      <w:r>
        <w:rPr>
          <w:rFonts w:hint="eastAsia"/>
        </w:rPr>
        <w:t>-5</w:t>
      </w:r>
      <w:r>
        <w:t>7</w:t>
      </w:r>
      <w:r>
        <w:rPr>
          <w:rFonts w:hint="eastAsia"/>
        </w:rPr>
        <w:t>%</w:t>
      </w:r>
      <w:r>
        <w:t xml:space="preserve"> </w:t>
      </w:r>
      <w:r>
        <w:rPr>
          <w:rFonts w:hint="eastAsia"/>
        </w:rPr>
        <w:t>的范围内），但是菌株保留的时间明显延长：床位&gt;</w:t>
      </w:r>
      <w:r>
        <w:t>2500</w:t>
      </w:r>
      <w:r>
        <w:rPr>
          <w:rFonts w:hint="eastAsia"/>
        </w:rPr>
        <w:t>的医院中长期保留酵母菌菌株的医院高达3</w:t>
      </w:r>
      <w:r>
        <w:t>6</w:t>
      </w:r>
      <w:r>
        <w:rPr>
          <w:rFonts w:hint="eastAsia"/>
        </w:rPr>
        <w:t>%，而床位数</w:t>
      </w:r>
      <w:r>
        <w:rPr>
          <w:rFonts w:cs="Arial"/>
        </w:rPr>
        <w:t>≥</w:t>
      </w:r>
      <w:r>
        <w:rPr>
          <w:rFonts w:hint="eastAsia"/>
        </w:rPr>
        <w:t>8</w:t>
      </w:r>
      <w:r>
        <w:t>00</w:t>
      </w:r>
      <w:r>
        <w:rPr>
          <w:rFonts w:hint="eastAsia"/>
        </w:rPr>
        <w:t>的医院中仅5%</w:t>
      </w:r>
      <w:r>
        <w:t xml:space="preserve"> </w:t>
      </w:r>
      <w:r>
        <w:rPr>
          <w:rFonts w:hint="eastAsia"/>
        </w:rPr>
        <w:t>的医院长期保留酵母菌菌株。丝状真菌的菌株保存情况也类似，规模越大的医院是否保留菌株的比例无明显变化，但是长期保留菌株的医院比例更高（</w:t>
      </w:r>
      <w:r>
        <w:fldChar w:fldCharType="begin"/>
      </w:r>
      <w:r>
        <w:instrText xml:space="preserve"> </w:instrText>
      </w:r>
      <w:r>
        <w:rPr>
          <w:rFonts w:hint="eastAsia"/>
        </w:rPr>
        <w:instrText xml:space="preserve">REF _Ref517196071 \h</w:instrText>
      </w:r>
      <w:r>
        <w:instrText xml:space="preserve"> </w:instrText>
      </w:r>
      <w:r>
        <w:fldChar w:fldCharType="separate"/>
      </w:r>
      <w:r>
        <w:rPr>
          <w:rFonts w:hint="eastAsia"/>
        </w:rPr>
        <w:t xml:space="preserve">图 </w:t>
      </w:r>
      <w:r>
        <w:t>17</w:t>
      </w:r>
      <w:r>
        <w:fldChar w:fldCharType="end"/>
      </w:r>
      <w:r>
        <w:rPr>
          <w:rFonts w:hint="eastAsia"/>
        </w:rPr>
        <w:t>，右）。</w:t>
      </w:r>
    </w:p>
    <w:p>
      <w:pPr>
        <w:ind w:firstLine="0"/>
        <w:rPr>
          <w:lang w:val="en-US"/>
        </w:rPr>
      </w:pPr>
      <w:r>
        <w:rPr>
          <w:lang w:val="en-US"/>
        </w:rPr>
        <w:drawing>
          <wp:inline distT="0" distB="0" distL="0" distR="0">
            <wp:extent cx="5845175" cy="269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rcRect l="2406" t="4967" r="1565" b="3621"/>
                    <a:stretch>
                      <a:fillRect/>
                    </a:stretch>
                  </pic:blipFill>
                  <pic:spPr>
                    <a:xfrm>
                      <a:off x="0" y="0"/>
                      <a:ext cx="5856557" cy="2700618"/>
                    </a:xfrm>
                    <a:prstGeom prst="rect">
                      <a:avLst/>
                    </a:prstGeom>
                    <a:noFill/>
                    <a:ln>
                      <a:noFill/>
                    </a:ln>
                  </pic:spPr>
                </pic:pic>
              </a:graphicData>
            </a:graphic>
          </wp:inline>
        </w:drawing>
      </w:r>
    </w:p>
    <w:p>
      <w:pPr>
        <w:pStyle w:val="6"/>
      </w:pPr>
      <w:bookmarkStart w:id="46" w:name="_Ref517196071"/>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17</w:t>
      </w:r>
      <w:r>
        <w:fldChar w:fldCharType="end"/>
      </w:r>
      <w:bookmarkEnd w:id="46"/>
      <w:r>
        <w:t xml:space="preserve">   </w:t>
      </w:r>
      <w:r>
        <w:rPr>
          <w:rFonts w:hint="eastAsia"/>
        </w:rPr>
        <w:t>医院规模越大，菌株保存时间越长</w:t>
      </w:r>
    </w:p>
    <w:p/>
    <w:p>
      <w:r>
        <w:t xml:space="preserve"> </w:t>
      </w:r>
    </w:p>
    <w:p>
      <w:pPr>
        <w:ind w:firstLine="0"/>
      </w:pPr>
    </w:p>
    <w:p>
      <w:pPr>
        <w:pStyle w:val="3"/>
      </w:pPr>
      <w:bookmarkStart w:id="47" w:name="_Toc519069696"/>
      <w:r>
        <w:rPr>
          <w:rFonts w:hint="eastAsia"/>
        </w:rPr>
        <w:t>真菌检测项目</w:t>
      </w:r>
      <w:bookmarkEnd w:id="47"/>
    </w:p>
    <w:p>
      <w:pPr>
        <w:pStyle w:val="4"/>
        <w:numPr>
          <w:ilvl w:val="0"/>
          <w:numId w:val="7"/>
        </w:numPr>
      </w:pPr>
      <w:bookmarkStart w:id="48" w:name="_Toc519069697"/>
      <w:r>
        <w:rPr>
          <w:rFonts w:hint="eastAsia"/>
        </w:rPr>
        <w:t>酵母菌的检测与鉴定</w:t>
      </w:r>
      <w:bookmarkEnd w:id="48"/>
    </w:p>
    <w:p>
      <w:r>
        <w:rPr>
          <w:rFonts w:hint="eastAsia"/>
        </w:rPr>
        <w:t>如</w:t>
      </w:r>
      <w:r>
        <w:fldChar w:fldCharType="begin"/>
      </w:r>
      <w:r>
        <w:instrText xml:space="preserve"> </w:instrText>
      </w:r>
      <w:r>
        <w:rPr>
          <w:rFonts w:hint="eastAsia"/>
        </w:rPr>
        <w:instrText xml:space="preserve">REF _Ref517358126 \h</w:instrText>
      </w:r>
      <w:r>
        <w:instrText xml:space="preserve"> </w:instrText>
      </w:r>
      <w:r>
        <w:fldChar w:fldCharType="separate"/>
      </w:r>
      <w:r>
        <w:rPr>
          <w:rFonts w:hint="eastAsia"/>
        </w:rPr>
        <w:t xml:space="preserve">图 </w:t>
      </w:r>
      <w:r>
        <w:t>18</w:t>
      </w:r>
      <w:r>
        <w:fldChar w:fldCharType="end"/>
      </w:r>
      <w:r>
        <w:rPr>
          <w:rFonts w:hint="eastAsia"/>
        </w:rPr>
        <w:t>所示，3</w:t>
      </w:r>
      <w:r>
        <w:t>48</w:t>
      </w:r>
      <w:r>
        <w:rPr>
          <w:rFonts w:hint="eastAsia"/>
        </w:rPr>
        <w:t>家三甲医院中，99% 的医院有能力在本院开展酵母菌鉴定，其中常用鉴定方式包括显色培养基（9</w:t>
      </w:r>
      <w:r>
        <w:t>2</w:t>
      </w:r>
      <w:r>
        <w:rPr>
          <w:rFonts w:hint="eastAsia"/>
        </w:rPr>
        <w:t>%）、全自动鉴定仪（7</w:t>
      </w:r>
      <w:r>
        <w:t>2</w:t>
      </w:r>
      <w:r>
        <w:rPr>
          <w:rFonts w:hint="eastAsia"/>
        </w:rPr>
        <w:t>%）等。能在本院开展MALDI</w:t>
      </w:r>
      <w:r>
        <w:t>-TOF</w:t>
      </w:r>
      <w:r>
        <w:rPr>
          <w:rFonts w:hint="eastAsia"/>
        </w:rPr>
        <w:t>和测序进行鉴定的医院相对较少，分别占3</w:t>
      </w:r>
      <w:r>
        <w:t>4</w:t>
      </w:r>
      <w:r>
        <w:rPr>
          <w:rFonts w:hint="eastAsia"/>
        </w:rPr>
        <w:t>%</w:t>
      </w:r>
      <w:r>
        <w:t xml:space="preserve"> </w:t>
      </w:r>
      <w:r>
        <w:rPr>
          <w:rFonts w:hint="eastAsia"/>
        </w:rPr>
        <w:t>和8%；两种方法均有较高的送至外院或第三方机构进行检测的需求。此外，问卷反馈中提及的其他鉴定方法包括API试剂条、迪尔DL-96真菌鉴定板等等。</w:t>
      </w:r>
    </w:p>
    <w:p>
      <w:pPr>
        <w:jc w:val="center"/>
      </w:pPr>
      <w:r>
        <w:drawing>
          <wp:inline distT="0" distB="0" distL="0" distR="0">
            <wp:extent cx="5331460" cy="19335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24">
                      <a:extLst>
                        <a:ext uri="{28A0092B-C50C-407E-A947-70E740481C1C}">
                          <a14:useLocalDpi xmlns:a14="http://schemas.microsoft.com/office/drawing/2010/main" val="0"/>
                        </a:ext>
                      </a:extLst>
                    </a:blip>
                    <a:srcRect r="6517"/>
                    <a:stretch>
                      <a:fillRect/>
                    </a:stretch>
                  </pic:blipFill>
                  <pic:spPr>
                    <a:xfrm>
                      <a:off x="0" y="0"/>
                      <a:ext cx="5384054" cy="1952592"/>
                    </a:xfrm>
                    <a:prstGeom prst="rect">
                      <a:avLst/>
                    </a:prstGeom>
                    <a:noFill/>
                    <a:ln>
                      <a:noFill/>
                    </a:ln>
                  </pic:spPr>
                </pic:pic>
              </a:graphicData>
            </a:graphic>
          </wp:inline>
        </w:drawing>
      </w:r>
    </w:p>
    <w:p>
      <w:pPr>
        <w:pStyle w:val="6"/>
      </w:pPr>
      <w:bookmarkStart w:id="49" w:name="_Ref517358126"/>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18</w:t>
      </w:r>
      <w:r>
        <w:fldChar w:fldCharType="end"/>
      </w:r>
      <w:bookmarkEnd w:id="49"/>
      <w:r>
        <w:t xml:space="preserve">   </w:t>
      </w:r>
      <w:r>
        <w:rPr>
          <w:rFonts w:hint="eastAsia"/>
        </w:rPr>
        <w:t>酵母菌鉴定方法</w:t>
      </w:r>
    </w:p>
    <w:p>
      <w:r>
        <w:rPr>
          <w:rFonts w:hint="eastAsia"/>
        </w:rPr>
        <w:t>从医院规模上看，规模越大的医院，在本院配备全自动鉴定仪、MALD</w:t>
      </w:r>
      <w:r>
        <w:t>I-TO</w:t>
      </w:r>
      <w:r>
        <w:rPr>
          <w:rFonts w:hint="eastAsia"/>
        </w:rPr>
        <w:t>F和测序等方法进行酵母菌鉴定的比例越高（</w:t>
      </w:r>
      <w:r>
        <w:fldChar w:fldCharType="begin"/>
      </w:r>
      <w:r>
        <w:instrText xml:space="preserve"> </w:instrText>
      </w:r>
      <w:r>
        <w:rPr>
          <w:rFonts w:hint="eastAsia"/>
        </w:rPr>
        <w:instrText xml:space="preserve">REF _Ref517358097 \h</w:instrText>
      </w:r>
      <w:r>
        <w:instrText xml:space="preserve"> </w:instrText>
      </w:r>
      <w:r>
        <w:fldChar w:fldCharType="separate"/>
      </w:r>
      <w:r>
        <w:rPr>
          <w:rFonts w:hint="eastAsia"/>
        </w:rPr>
        <w:t xml:space="preserve">图 </w:t>
      </w:r>
      <w:r>
        <w:t>19</w:t>
      </w:r>
      <w:r>
        <w:fldChar w:fldCharType="end"/>
      </w:r>
      <w:r>
        <w:rPr>
          <w:rFonts w:hint="eastAsia"/>
        </w:rPr>
        <w:t>）。而从所在城市等级上看（</w:t>
      </w:r>
      <w:r>
        <w:fldChar w:fldCharType="begin"/>
      </w:r>
      <w:r>
        <w:instrText xml:space="preserve"> </w:instrText>
      </w:r>
      <w:r>
        <w:rPr>
          <w:rFonts w:hint="eastAsia"/>
        </w:rPr>
        <w:instrText xml:space="preserve">REF _Ref518396702 \h</w:instrText>
      </w:r>
      <w:r>
        <w:instrText xml:space="preserve"> </w:instrText>
      </w:r>
      <w:r>
        <w:fldChar w:fldCharType="separate"/>
      </w:r>
      <w:r>
        <w:rPr>
          <w:rFonts w:hint="eastAsia"/>
        </w:rPr>
        <w:t xml:space="preserve">图 </w:t>
      </w:r>
      <w:r>
        <w:t>20</w:t>
      </w:r>
      <w:r>
        <w:fldChar w:fldCharType="end"/>
      </w:r>
      <w:r>
        <w:rPr>
          <w:rFonts w:hint="eastAsia"/>
        </w:rPr>
        <w:t>），一线城市三甲医院配备MALDI</w:t>
      </w:r>
      <w:r>
        <w:t>-TOF</w:t>
      </w:r>
      <w:r>
        <w:rPr>
          <w:rFonts w:hint="eastAsia"/>
        </w:rPr>
        <w:t>和测序方法的比例较高；三线城市配备比例较低，尤其是测序，仅3%的医院有能力在本院开展。</w:t>
      </w:r>
    </w:p>
    <w:p>
      <w:pPr>
        <w:ind w:firstLine="0"/>
        <w:jc w:val="center"/>
      </w:pPr>
      <w:r>
        <w:drawing>
          <wp:inline distT="0" distB="0" distL="0" distR="0">
            <wp:extent cx="5000625" cy="159258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30634" cy="1602191"/>
                    </a:xfrm>
                    <a:prstGeom prst="rect">
                      <a:avLst/>
                    </a:prstGeom>
                    <a:noFill/>
                  </pic:spPr>
                </pic:pic>
              </a:graphicData>
            </a:graphic>
          </wp:inline>
        </w:drawing>
      </w:r>
    </w:p>
    <w:p>
      <w:pPr>
        <w:pStyle w:val="6"/>
      </w:pPr>
      <w:bookmarkStart w:id="50" w:name="_Ref51735809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19</w:t>
      </w:r>
      <w:r>
        <w:fldChar w:fldCharType="end"/>
      </w:r>
      <w:bookmarkEnd w:id="50"/>
      <w:r>
        <w:t xml:space="preserve">   </w:t>
      </w:r>
      <w:r>
        <w:rPr>
          <w:rFonts w:hint="eastAsia"/>
        </w:rPr>
        <w:t>医院规模越大，使用 MALDI</w:t>
      </w:r>
      <w:r>
        <w:t>-TOF</w:t>
      </w:r>
      <w:r>
        <w:rPr>
          <w:rFonts w:hint="eastAsia"/>
        </w:rPr>
        <w:t>和测序的比例越高</w:t>
      </w:r>
    </w:p>
    <w:p>
      <w:pPr>
        <w:jc w:val="center"/>
      </w:pPr>
      <w:r>
        <w:drawing>
          <wp:inline distT="0" distB="0" distL="0" distR="0">
            <wp:extent cx="4133850" cy="1670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49098" cy="1676324"/>
                    </a:xfrm>
                    <a:prstGeom prst="rect">
                      <a:avLst/>
                    </a:prstGeom>
                    <a:noFill/>
                  </pic:spPr>
                </pic:pic>
              </a:graphicData>
            </a:graphic>
          </wp:inline>
        </w:drawing>
      </w:r>
    </w:p>
    <w:p>
      <w:pPr>
        <w:pStyle w:val="6"/>
      </w:pPr>
      <w:bookmarkStart w:id="51" w:name="_Ref51839670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20</w:t>
      </w:r>
      <w:r>
        <w:fldChar w:fldCharType="end"/>
      </w:r>
      <w:bookmarkEnd w:id="51"/>
      <w:r>
        <w:t xml:space="preserve">   </w:t>
      </w:r>
      <w:r>
        <w:rPr>
          <w:rFonts w:hint="eastAsia"/>
        </w:rPr>
        <w:t>医院所在城市级别越高，使用MALDI</w:t>
      </w:r>
      <w:r>
        <w:t>-TOF</w:t>
      </w:r>
      <w:r>
        <w:rPr>
          <w:rFonts w:hint="eastAsia"/>
        </w:rPr>
        <w:t>和测序的比例越高</w:t>
      </w:r>
    </w:p>
    <w:p>
      <w:pPr>
        <w:pStyle w:val="4"/>
      </w:pPr>
      <w:bookmarkStart w:id="52" w:name="_Toc519069698"/>
      <w:r>
        <w:rPr>
          <w:rFonts w:hint="eastAsia"/>
        </w:rPr>
        <w:t>丝状真菌的检测与鉴定</w:t>
      </w:r>
      <w:bookmarkEnd w:id="52"/>
    </w:p>
    <w:p>
      <w:r>
        <w:rPr>
          <w:rFonts w:hint="eastAsia"/>
        </w:rPr>
        <w:t>与酵母菌鉴定类似，丝状真菌的鉴定亦多在本院开展 (93%)，鉴定方式以形态学为主。有能力在本院进行MALDI</w:t>
      </w:r>
      <w:r>
        <w:t>-TOF</w:t>
      </w:r>
      <w:r>
        <w:rPr>
          <w:rFonts w:hint="eastAsia"/>
        </w:rPr>
        <w:t>和测序的医院仅占 26%</w:t>
      </w:r>
      <w:r>
        <w:t xml:space="preserve"> </w:t>
      </w:r>
      <w:r>
        <w:rPr>
          <w:rFonts w:hint="eastAsia"/>
        </w:rPr>
        <w:t>和9%，2</w:t>
      </w:r>
      <w:r>
        <w:t>2</w:t>
      </w:r>
      <w:r>
        <w:rPr>
          <w:rFonts w:hint="eastAsia"/>
        </w:rPr>
        <w:t>%的医院会将样本送至外院或第三方机构进行MALDI-TOF和测序（</w:t>
      </w:r>
      <w:r>
        <w:fldChar w:fldCharType="begin"/>
      </w:r>
      <w:r>
        <w:instrText xml:space="preserve"> </w:instrText>
      </w:r>
      <w:r>
        <w:rPr>
          <w:rFonts w:hint="eastAsia"/>
        </w:rPr>
        <w:instrText xml:space="preserve">REF _Ref517358295 \h</w:instrText>
      </w:r>
      <w:r>
        <w:instrText xml:space="preserve"> </w:instrText>
      </w:r>
      <w:r>
        <w:fldChar w:fldCharType="separate"/>
      </w:r>
      <w:r>
        <w:rPr>
          <w:rFonts w:hint="eastAsia"/>
        </w:rPr>
        <w:t xml:space="preserve">图 </w:t>
      </w:r>
      <w:r>
        <w:t>21</w:t>
      </w:r>
      <w:r>
        <w:fldChar w:fldCharType="end"/>
      </w:r>
      <w:r>
        <w:rPr>
          <w:rFonts w:hint="eastAsia"/>
        </w:rPr>
        <w:t>）。与酵母菌的鉴定情况类似，MALDI</w:t>
      </w:r>
      <w:r>
        <w:t>-TOF</w:t>
      </w:r>
      <w:r>
        <w:rPr>
          <w:rFonts w:hint="eastAsia"/>
        </w:rPr>
        <w:t>和测序方法在本院的开展情况也受医院规模和所在城市等级影响，床位&lt;</w:t>
      </w:r>
      <w:r>
        <w:t>800</w:t>
      </w:r>
      <w:r>
        <w:rPr>
          <w:rFonts w:hint="eastAsia"/>
        </w:rPr>
        <w:t>个或地处三线及以上城市的三甲医院中较少配备MALDI</w:t>
      </w:r>
      <w:r>
        <w:t>-TOF</w:t>
      </w:r>
      <w:r>
        <w:rPr>
          <w:rFonts w:hint="eastAsia"/>
        </w:rPr>
        <w:t>和测序方法。</w:t>
      </w:r>
    </w:p>
    <w:p>
      <w:pPr>
        <w:ind w:firstLine="0"/>
        <w:jc w:val="center"/>
      </w:pPr>
      <w:r>
        <w:drawing>
          <wp:inline distT="0" distB="0" distL="0" distR="0">
            <wp:extent cx="5238750" cy="145605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27">
                      <a:extLst>
                        <a:ext uri="{28A0092B-C50C-407E-A947-70E740481C1C}">
                          <a14:useLocalDpi xmlns:a14="http://schemas.microsoft.com/office/drawing/2010/main" val="0"/>
                        </a:ext>
                      </a:extLst>
                    </a:blip>
                    <a:srcRect r="8937"/>
                    <a:stretch>
                      <a:fillRect/>
                    </a:stretch>
                  </pic:blipFill>
                  <pic:spPr>
                    <a:xfrm>
                      <a:off x="0" y="0"/>
                      <a:ext cx="5259571" cy="1461842"/>
                    </a:xfrm>
                    <a:prstGeom prst="rect">
                      <a:avLst/>
                    </a:prstGeom>
                    <a:noFill/>
                    <a:ln>
                      <a:noFill/>
                    </a:ln>
                  </pic:spPr>
                </pic:pic>
              </a:graphicData>
            </a:graphic>
          </wp:inline>
        </w:drawing>
      </w:r>
    </w:p>
    <w:p>
      <w:pPr>
        <w:pStyle w:val="6"/>
      </w:pPr>
      <w:bookmarkStart w:id="53" w:name="_Ref51735829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21</w:t>
      </w:r>
      <w:r>
        <w:fldChar w:fldCharType="end"/>
      </w:r>
      <w:bookmarkEnd w:id="53"/>
      <w:r>
        <w:t xml:space="preserve">   </w:t>
      </w:r>
      <w:r>
        <w:rPr>
          <w:rFonts w:hint="eastAsia"/>
        </w:rPr>
        <w:t>丝状真菌鉴定方法</w:t>
      </w:r>
    </w:p>
    <w:p/>
    <w:p>
      <w:pPr>
        <w:pStyle w:val="4"/>
      </w:pPr>
      <w:bookmarkStart w:id="54" w:name="_Toc519069699"/>
      <w:r>
        <w:rPr>
          <w:rFonts w:hint="eastAsia"/>
        </w:rPr>
        <w:t>涂片镜检</w:t>
      </w:r>
      <w:bookmarkEnd w:id="54"/>
    </w:p>
    <w:p>
      <w:r>
        <w:rPr>
          <w:rFonts w:hint="eastAsia"/>
        </w:rPr>
        <w:t>真菌涂片镜检是最简单的实验室诊断方法，尤其对于浅表和皮下真菌感染的诊断很有价值。调查结果显示，所有医院均有能力在本院开展涂片镜检，且很少送样本至外院或第三方机构进行涂片鉴定。</w:t>
      </w:r>
    </w:p>
    <w:p>
      <w:r>
        <w:rPr>
          <w:rFonts w:hint="eastAsia"/>
        </w:rPr>
        <w:t>调查显示，目前临床采用的涂片染色方法种类繁多（</w:t>
      </w:r>
      <w:r>
        <w:fldChar w:fldCharType="begin"/>
      </w:r>
      <w:r>
        <w:instrText xml:space="preserve"> </w:instrText>
      </w:r>
      <w:r>
        <w:rPr>
          <w:rFonts w:hint="eastAsia"/>
        </w:rPr>
        <w:instrText xml:space="preserve">REF _Ref517363108 \h</w:instrText>
      </w:r>
      <w:r>
        <w:instrText xml:space="preserve"> </w:instrText>
      </w:r>
      <w:r>
        <w:fldChar w:fldCharType="separate"/>
      </w:r>
      <w:r>
        <w:rPr>
          <w:rFonts w:hint="eastAsia"/>
        </w:rPr>
        <w:t xml:space="preserve">图 </w:t>
      </w:r>
      <w:r>
        <w:t>22</w:t>
      </w:r>
      <w:r>
        <w:fldChar w:fldCharType="end"/>
      </w:r>
      <w:r>
        <w:rPr>
          <w:rFonts w:hint="eastAsia"/>
        </w:rPr>
        <w:t>），其中以革兰染色、墨汁染色、乳酸粉棉兰染色和KOH湿片法最为普及，具备这些方法的医院分别占9</w:t>
      </w:r>
      <w:r>
        <w:t>6%</w:t>
      </w:r>
      <w:r>
        <w:rPr>
          <w:rFonts w:hint="eastAsia"/>
        </w:rPr>
        <w:t>、8</w:t>
      </w:r>
      <w:r>
        <w:t>8</w:t>
      </w:r>
      <w:r>
        <w:rPr>
          <w:rFonts w:hint="eastAsia"/>
        </w:rPr>
        <w:t>%、7</w:t>
      </w:r>
      <w:r>
        <w:t>3</w:t>
      </w:r>
      <w:r>
        <w:rPr>
          <w:rFonts w:hint="eastAsia"/>
        </w:rPr>
        <w:t>%和7</w:t>
      </w:r>
      <w:r>
        <w:t>2</w:t>
      </w:r>
      <w:r>
        <w:rPr>
          <w:rFonts w:hint="eastAsia"/>
        </w:rPr>
        <w:t>%。相比而言，六胺银染色和荧光染色方法的覆盖范围较小，仅2</w:t>
      </w:r>
      <w:r>
        <w:t>6</w:t>
      </w:r>
      <w:r>
        <w:rPr>
          <w:rFonts w:hint="eastAsia"/>
        </w:rPr>
        <w:t>%和1</w:t>
      </w:r>
      <w:r>
        <w:t>8</w:t>
      </w:r>
      <w:r>
        <w:rPr>
          <w:rFonts w:hint="eastAsia"/>
        </w:rPr>
        <w:t>%的医院具备这两种方法（</w:t>
      </w:r>
      <w:r>
        <w:fldChar w:fldCharType="begin"/>
      </w:r>
      <w:r>
        <w:instrText xml:space="preserve"> </w:instrText>
      </w:r>
      <w:r>
        <w:rPr>
          <w:rFonts w:hint="eastAsia"/>
        </w:rPr>
        <w:instrText xml:space="preserve">REF _Ref517363108 \h</w:instrText>
      </w:r>
      <w:r>
        <w:instrText xml:space="preserve"> </w:instrText>
      </w:r>
      <w:r>
        <w:fldChar w:fldCharType="separate"/>
      </w:r>
      <w:r>
        <w:rPr>
          <w:rFonts w:hint="eastAsia"/>
        </w:rPr>
        <w:t xml:space="preserve">图 </w:t>
      </w:r>
      <w:r>
        <w:t>22</w:t>
      </w:r>
      <w:r>
        <w:fldChar w:fldCharType="end"/>
      </w:r>
      <w:r>
        <w:rPr>
          <w:rFonts w:hint="eastAsia"/>
        </w:rPr>
        <w:t>）；尤其是在床位数&lt;8</w:t>
      </w:r>
      <w:r>
        <w:t>00</w:t>
      </w:r>
      <w:r>
        <w:rPr>
          <w:rFonts w:hint="eastAsia"/>
        </w:rPr>
        <w:t>的三甲医院中，覆盖率仅为8%和7%（</w:t>
      </w:r>
      <w:r>
        <w:fldChar w:fldCharType="begin"/>
      </w:r>
      <w:r>
        <w:instrText xml:space="preserve"> REF _Ref519068092 \h </w:instrText>
      </w:r>
      <w:r>
        <w:fldChar w:fldCharType="separate"/>
      </w:r>
      <w:r>
        <w:rPr>
          <w:rFonts w:hint="eastAsia"/>
        </w:rPr>
        <w:t xml:space="preserve">图 </w:t>
      </w:r>
      <w:r>
        <w:t>23</w:t>
      </w:r>
      <w:r>
        <w:fldChar w:fldCharType="end"/>
      </w:r>
      <w:r>
        <w:rPr>
          <w:rFonts w:hint="eastAsia"/>
        </w:rPr>
        <w:t>）。</w:t>
      </w:r>
    </w:p>
    <w:p>
      <w:r>
        <w:rPr>
          <w:rFonts w:hint="eastAsia"/>
        </w:rPr>
        <w:t>此外，虽然临床上可供选择的涂片方法种类较多，但同时具备这6种方法的医院比例很低，仅占 7.5%；多数医院（5</w:t>
      </w:r>
      <w:r>
        <w:t>7</w:t>
      </w:r>
      <w:r>
        <w:rPr>
          <w:rFonts w:hint="eastAsia"/>
        </w:rPr>
        <w:t>%）配备3至</w:t>
      </w:r>
      <w:r>
        <w:t>4</w:t>
      </w:r>
      <w:r>
        <w:rPr>
          <w:rFonts w:hint="eastAsia"/>
        </w:rPr>
        <w:t>种方法（</w:t>
      </w:r>
      <w:r>
        <w:fldChar w:fldCharType="begin"/>
      </w:r>
      <w:r>
        <w:instrText xml:space="preserve"> </w:instrText>
      </w:r>
      <w:r>
        <w:rPr>
          <w:rFonts w:hint="eastAsia"/>
        </w:rPr>
        <w:instrText xml:space="preserve">REF _Ref517363256 \h</w:instrText>
      </w:r>
      <w:r>
        <w:instrText xml:space="preserve"> </w:instrText>
      </w:r>
      <w:r>
        <w:fldChar w:fldCharType="separate"/>
      </w:r>
      <w:r>
        <w:rPr>
          <w:rFonts w:hint="eastAsia"/>
        </w:rPr>
        <w:t xml:space="preserve">图 </w:t>
      </w:r>
      <w:r>
        <w:t>24</w:t>
      </w:r>
      <w:r>
        <w:fldChar w:fldCharType="end"/>
      </w:r>
      <w:r>
        <w:rPr>
          <w:rFonts w:hint="eastAsia"/>
        </w:rPr>
        <w:t>）。</w:t>
      </w:r>
    </w:p>
    <w:p/>
    <w:p>
      <w:pPr>
        <w:ind w:firstLine="0"/>
      </w:pPr>
      <w:r>
        <w:drawing>
          <wp:inline distT="0" distB="0" distL="0" distR="0">
            <wp:extent cx="6096635" cy="1901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096635" cy="1901825"/>
                    </a:xfrm>
                    <a:prstGeom prst="rect">
                      <a:avLst/>
                    </a:prstGeom>
                    <a:noFill/>
                  </pic:spPr>
                </pic:pic>
              </a:graphicData>
            </a:graphic>
          </wp:inline>
        </w:drawing>
      </w:r>
    </w:p>
    <w:p>
      <w:pPr>
        <w:pStyle w:val="6"/>
      </w:pPr>
      <w:bookmarkStart w:id="55" w:name="_Ref51736310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22</w:t>
      </w:r>
      <w:r>
        <w:fldChar w:fldCharType="end"/>
      </w:r>
      <w:bookmarkEnd w:id="55"/>
      <w:r>
        <w:t xml:space="preserve">   </w:t>
      </w:r>
      <w:r>
        <w:rPr>
          <w:rFonts w:hint="eastAsia"/>
        </w:rPr>
        <w:t>真菌涂片镜检染色方法</w:t>
      </w:r>
    </w:p>
    <w:p/>
    <w:p/>
    <w:p>
      <w:pPr>
        <w:ind w:firstLine="0"/>
      </w:pPr>
      <w:r>
        <w:drawing>
          <wp:inline distT="0" distB="0" distL="0" distR="0">
            <wp:extent cx="580644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rcRect l="1720" r="2422"/>
                    <a:stretch>
                      <a:fillRect/>
                    </a:stretch>
                  </pic:blipFill>
                  <pic:spPr>
                    <a:xfrm>
                      <a:off x="0" y="0"/>
                      <a:ext cx="5844168" cy="1840666"/>
                    </a:xfrm>
                    <a:prstGeom prst="rect">
                      <a:avLst/>
                    </a:prstGeom>
                    <a:noFill/>
                    <a:ln>
                      <a:noFill/>
                    </a:ln>
                  </pic:spPr>
                </pic:pic>
              </a:graphicData>
            </a:graphic>
          </wp:inline>
        </w:drawing>
      </w:r>
    </w:p>
    <w:p>
      <w:pPr>
        <w:pStyle w:val="6"/>
      </w:pPr>
      <w:bookmarkStart w:id="56" w:name="_Ref519068092"/>
      <w:bookmarkStart w:id="57" w:name="_Ref51906808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23</w:t>
      </w:r>
      <w:r>
        <w:fldChar w:fldCharType="end"/>
      </w:r>
      <w:bookmarkEnd w:id="56"/>
      <w:r>
        <w:t xml:space="preserve">   </w:t>
      </w:r>
      <w:r>
        <w:rPr>
          <w:rFonts w:hint="eastAsia"/>
        </w:rPr>
        <w:t>医院规模越大，配备六胺银及荧光染色法的比例越高</w:t>
      </w:r>
      <w:bookmarkEnd w:id="57"/>
    </w:p>
    <w:p>
      <w:pPr>
        <w:jc w:val="center"/>
      </w:pPr>
    </w:p>
    <w:p>
      <w:pPr>
        <w:jc w:val="center"/>
      </w:pPr>
      <w:r>
        <w:drawing>
          <wp:inline distT="0" distB="0" distL="0" distR="0">
            <wp:extent cx="4630420" cy="2865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41506" cy="2872809"/>
                    </a:xfrm>
                    <a:prstGeom prst="rect">
                      <a:avLst/>
                    </a:prstGeom>
                    <a:noFill/>
                  </pic:spPr>
                </pic:pic>
              </a:graphicData>
            </a:graphic>
          </wp:inline>
        </w:drawing>
      </w:r>
    </w:p>
    <w:p>
      <w:pPr>
        <w:pStyle w:val="6"/>
      </w:pPr>
      <w:bookmarkStart w:id="58" w:name="_Ref517363256"/>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24</w:t>
      </w:r>
      <w:r>
        <w:fldChar w:fldCharType="end"/>
      </w:r>
      <w:bookmarkEnd w:id="58"/>
      <w:r>
        <w:t xml:space="preserve">   </w:t>
      </w:r>
      <w:r>
        <w:rPr>
          <w:rFonts w:hint="eastAsia"/>
        </w:rPr>
        <w:t>本院开展涂片染色方法的数量</w:t>
      </w:r>
    </w:p>
    <w:p/>
    <w:p>
      <w:pPr>
        <w:pStyle w:val="4"/>
      </w:pPr>
      <w:bookmarkStart w:id="59" w:name="_Toc519069700"/>
      <w:r>
        <w:rPr>
          <w:rFonts w:hint="eastAsia"/>
        </w:rPr>
        <w:t>酵母菌药敏试验</w:t>
      </w:r>
      <w:bookmarkEnd w:id="59"/>
    </w:p>
    <w:p>
      <w:r>
        <w:rPr>
          <w:rFonts w:hint="eastAsia"/>
        </w:rPr>
        <w:t>92%的医院有能力在本院开展酵母菌药敏试验，极少有医院送样本至外院或第三方机构进行测试（</w:t>
      </w:r>
      <w:r>
        <w:fldChar w:fldCharType="begin"/>
      </w:r>
      <w:r>
        <w:instrText xml:space="preserve"> </w:instrText>
      </w:r>
      <w:r>
        <w:rPr>
          <w:rFonts w:hint="eastAsia"/>
        </w:rPr>
        <w:instrText xml:space="preserve">REF _Ref517358987 \h</w:instrText>
      </w:r>
      <w:r>
        <w:instrText xml:space="preserve"> </w:instrText>
      </w:r>
      <w:r>
        <w:fldChar w:fldCharType="separate"/>
      </w:r>
      <w:r>
        <w:rPr>
          <w:rFonts w:hint="eastAsia"/>
        </w:rPr>
        <w:t xml:space="preserve">图 </w:t>
      </w:r>
      <w:r>
        <w:t>25</w:t>
      </w:r>
      <w:r>
        <w:fldChar w:fldCharType="end"/>
      </w:r>
      <w:r>
        <w:rPr>
          <w:rFonts w:hint="eastAsia"/>
        </w:rPr>
        <w:t>左，</w:t>
      </w:r>
      <w:r>
        <w:fldChar w:fldCharType="begin"/>
      </w:r>
      <w:r>
        <w:instrText xml:space="preserve"> </w:instrText>
      </w:r>
      <w:r>
        <w:rPr>
          <w:rFonts w:hint="eastAsia"/>
        </w:rPr>
        <w:instrText xml:space="preserve">REF _Ref517269138 \h</w:instrText>
      </w:r>
      <w:r>
        <w:instrText xml:space="preserve"> </w:instrText>
      </w:r>
      <w:r>
        <w:fldChar w:fldCharType="separate"/>
      </w:r>
      <w:r>
        <w:rPr>
          <w:rFonts w:hint="eastAsia"/>
        </w:rPr>
        <w:t xml:space="preserve">图 </w:t>
      </w:r>
      <w:r>
        <w:t>26</w:t>
      </w:r>
      <w:r>
        <w:fldChar w:fldCharType="end"/>
      </w:r>
      <w:r>
        <w:rPr>
          <w:rFonts w:hint="eastAsia"/>
        </w:rPr>
        <w:t>）。调查显示，目前国内三甲医院药敏试验方法以商品化试剂为主。其中，7</w:t>
      </w:r>
      <w:r>
        <w:t>1</w:t>
      </w:r>
      <w:r>
        <w:rPr>
          <w:rFonts w:hint="eastAsia"/>
        </w:rPr>
        <w:t>%的医院配备基于微量肉汤稀释法的 ATB Fungus 3，配备纸片法、Yeast</w:t>
      </w:r>
      <w:r>
        <w:t xml:space="preserve"> One </w:t>
      </w:r>
      <w:r>
        <w:rPr>
          <w:rFonts w:hint="eastAsia"/>
        </w:rPr>
        <w:t>和 Etest的医院相对较少，分别为1</w:t>
      </w:r>
      <w:r>
        <w:t>3</w:t>
      </w:r>
      <w:r>
        <w:rPr>
          <w:rFonts w:hint="eastAsia"/>
        </w:rPr>
        <w:t>%、7%和6%（</w:t>
      </w:r>
      <w:r>
        <w:fldChar w:fldCharType="begin"/>
      </w:r>
      <w:r>
        <w:instrText xml:space="preserve"> </w:instrText>
      </w:r>
      <w:r>
        <w:rPr>
          <w:rFonts w:hint="eastAsia"/>
        </w:rPr>
        <w:instrText xml:space="preserve">REF _Ref517269138 \h</w:instrText>
      </w:r>
      <w:r>
        <w:instrText xml:space="preserve"> </w:instrText>
      </w:r>
      <w:r>
        <w:fldChar w:fldCharType="separate"/>
      </w:r>
      <w:r>
        <w:rPr>
          <w:rFonts w:hint="eastAsia"/>
        </w:rPr>
        <w:t xml:space="preserve">图 </w:t>
      </w:r>
      <w:r>
        <w:t>26</w:t>
      </w:r>
      <w:r>
        <w:fldChar w:fldCharType="end"/>
      </w:r>
      <w:r>
        <w:rPr>
          <w:rFonts w:hint="eastAsia"/>
        </w:rPr>
        <w:t>）。3</w:t>
      </w:r>
      <w:r>
        <w:t>48</w:t>
      </w:r>
      <w:r>
        <w:rPr>
          <w:rFonts w:hint="eastAsia"/>
        </w:rPr>
        <w:t>家医院中，无医院同时具备四种试验方法，具备三种试验方法的医院也仅有1</w:t>
      </w:r>
      <w:r>
        <w:t>0</w:t>
      </w:r>
      <w:r>
        <w:rPr>
          <w:rFonts w:hint="eastAsia"/>
        </w:rPr>
        <w:t>家。除ATB</w:t>
      </w:r>
      <w:r>
        <w:t xml:space="preserve"> Fungus 3</w:t>
      </w:r>
      <w:r>
        <w:rPr>
          <w:rFonts w:hint="eastAsia"/>
        </w:rPr>
        <w:t>、纸片法、Yeast</w:t>
      </w:r>
      <w:r>
        <w:t xml:space="preserve"> One</w:t>
      </w:r>
      <w:r>
        <w:rPr>
          <w:rFonts w:hint="eastAsia"/>
        </w:rPr>
        <w:t>和Etest四种方法外，其他被采用的方法包括经典肉汤稀释法、迪尔真菌鉴定药敏板条以及美华等国产鉴定药敏板等等。</w:t>
      </w:r>
    </w:p>
    <w:p>
      <w:pPr>
        <w:ind w:firstLine="0"/>
        <w:jc w:val="center"/>
      </w:pPr>
      <w:r>
        <w:drawing>
          <wp:inline distT="0" distB="0" distL="0" distR="0">
            <wp:extent cx="5177790" cy="2158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198986" cy="2167147"/>
                    </a:xfrm>
                    <a:prstGeom prst="rect">
                      <a:avLst/>
                    </a:prstGeom>
                    <a:noFill/>
                  </pic:spPr>
                </pic:pic>
              </a:graphicData>
            </a:graphic>
          </wp:inline>
        </w:drawing>
      </w:r>
    </w:p>
    <w:p>
      <w:pPr>
        <w:pStyle w:val="6"/>
      </w:pPr>
      <w:bookmarkStart w:id="60" w:name="_Ref51735898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25</w:t>
      </w:r>
      <w:r>
        <w:fldChar w:fldCharType="end"/>
      </w:r>
      <w:bookmarkEnd w:id="60"/>
      <w:r>
        <w:t xml:space="preserve">   </w:t>
      </w:r>
      <w:r>
        <w:rPr>
          <w:rFonts w:hint="eastAsia"/>
        </w:rPr>
        <w:t>药敏试验在本院开展情况</w:t>
      </w:r>
    </w:p>
    <w:p/>
    <w:p>
      <w:pPr>
        <w:ind w:firstLine="0"/>
        <w:jc w:val="center"/>
      </w:pPr>
      <w:r>
        <w:drawing>
          <wp:inline distT="0" distB="0" distL="0" distR="0">
            <wp:extent cx="5295900" cy="166624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32">
                      <a:extLst>
                        <a:ext uri="{28A0092B-C50C-407E-A947-70E740481C1C}">
                          <a14:useLocalDpi xmlns:a14="http://schemas.microsoft.com/office/drawing/2010/main" val="0"/>
                        </a:ext>
                      </a:extLst>
                    </a:blip>
                    <a:srcRect r="8646"/>
                    <a:stretch>
                      <a:fillRect/>
                    </a:stretch>
                  </pic:blipFill>
                  <pic:spPr>
                    <a:xfrm>
                      <a:off x="0" y="0"/>
                      <a:ext cx="5318676" cy="1673662"/>
                    </a:xfrm>
                    <a:prstGeom prst="rect">
                      <a:avLst/>
                    </a:prstGeom>
                    <a:noFill/>
                    <a:ln>
                      <a:noFill/>
                    </a:ln>
                  </pic:spPr>
                </pic:pic>
              </a:graphicData>
            </a:graphic>
          </wp:inline>
        </w:drawing>
      </w:r>
    </w:p>
    <w:p>
      <w:pPr>
        <w:pStyle w:val="6"/>
      </w:pPr>
      <w:bookmarkStart w:id="61" w:name="_Ref51726913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26</w:t>
      </w:r>
      <w:r>
        <w:fldChar w:fldCharType="end"/>
      </w:r>
      <w:bookmarkEnd w:id="61"/>
      <w:r>
        <w:t xml:space="preserve">   </w:t>
      </w:r>
      <w:r>
        <w:rPr>
          <w:rFonts w:hint="eastAsia"/>
        </w:rPr>
        <w:t>酵母菌药敏试验项目</w:t>
      </w:r>
    </w:p>
    <w:p/>
    <w:p>
      <w:pPr>
        <w:pStyle w:val="4"/>
      </w:pPr>
      <w:bookmarkStart w:id="62" w:name="_Toc519069701"/>
      <w:r>
        <w:rPr>
          <w:rFonts w:hint="eastAsia"/>
        </w:rPr>
        <w:t>丝状真菌药敏试验</w:t>
      </w:r>
      <w:bookmarkEnd w:id="62"/>
    </w:p>
    <w:p>
      <w:r>
        <w:rPr>
          <w:rFonts w:hint="eastAsia"/>
        </w:rPr>
        <w:t>与大多数医院在本院开展酵母菌药敏测试不同，在本院进行丝状真菌药敏测试的医院仅占1</w:t>
      </w:r>
      <w:r>
        <w:t>4</w:t>
      </w:r>
      <w:r>
        <w:rPr>
          <w:rFonts w:hint="eastAsia"/>
        </w:rPr>
        <w:t>%（</w:t>
      </w:r>
      <w:r>
        <w:fldChar w:fldCharType="begin"/>
      </w:r>
      <w:r>
        <w:instrText xml:space="preserve"> </w:instrText>
      </w:r>
      <w:r>
        <w:rPr>
          <w:rFonts w:hint="eastAsia"/>
        </w:rPr>
        <w:instrText xml:space="preserve">REF _Ref517358987 \h</w:instrText>
      </w:r>
      <w:r>
        <w:instrText xml:space="preserve"> </w:instrText>
      </w:r>
      <w:r>
        <w:fldChar w:fldCharType="separate"/>
      </w:r>
      <w:r>
        <w:rPr>
          <w:rFonts w:hint="eastAsia"/>
        </w:rPr>
        <w:t xml:space="preserve">图 </w:t>
      </w:r>
      <w:r>
        <w:t>25</w:t>
      </w:r>
      <w:r>
        <w:fldChar w:fldCharType="end"/>
      </w:r>
      <w:r>
        <w:rPr>
          <w:rFonts w:hint="eastAsia"/>
        </w:rPr>
        <w:t>右）。此外，除 3.4%的医院会将样本送至外院或第三方机构开展药敏试验，其余医院均不进行丝状真菌药敏测试（</w:t>
      </w:r>
      <w:r>
        <w:fldChar w:fldCharType="begin"/>
      </w:r>
      <w:r>
        <w:instrText xml:space="preserve"> </w:instrText>
      </w:r>
      <w:r>
        <w:rPr>
          <w:rFonts w:hint="eastAsia"/>
        </w:rPr>
        <w:instrText xml:space="preserve">REF _Ref517359989 \h</w:instrText>
      </w:r>
      <w:r>
        <w:instrText xml:space="preserve"> </w:instrText>
      </w:r>
      <w:r>
        <w:fldChar w:fldCharType="separate"/>
      </w:r>
      <w:r>
        <w:rPr>
          <w:rFonts w:hint="eastAsia"/>
        </w:rPr>
        <w:t xml:space="preserve">图 </w:t>
      </w:r>
      <w:r>
        <w:t>27</w:t>
      </w:r>
      <w:r>
        <w:fldChar w:fldCharType="end"/>
      </w:r>
      <w:r>
        <w:rPr>
          <w:rFonts w:hint="eastAsia"/>
        </w:rPr>
        <w:t>）。丝状真菌药敏试验常见检测方法为 Etest、Yeast One及纸片法。在本院开展丝状真菌药敏试验的4</w:t>
      </w:r>
      <w:r>
        <w:t>9</w:t>
      </w:r>
      <w:r>
        <w:rPr>
          <w:rFonts w:hint="eastAsia"/>
        </w:rPr>
        <w:t>家医院中，仅 2 家医院同时配备三种检测方法；7</w:t>
      </w:r>
      <w:r>
        <w:t>3</w:t>
      </w:r>
      <w:r>
        <w:rPr>
          <w:rFonts w:hint="eastAsia"/>
        </w:rPr>
        <w:t>%的医院仅配备一种试验方法。</w:t>
      </w:r>
    </w:p>
    <w:p>
      <w:pPr>
        <w:ind w:firstLine="0"/>
        <w:jc w:val="center"/>
      </w:pPr>
      <w:r>
        <w:drawing>
          <wp:inline distT="0" distB="0" distL="0" distR="0">
            <wp:extent cx="4991100" cy="1536700"/>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noChangeArrowheads="1"/>
                    </pic:cNvPicPr>
                  </pic:nvPicPr>
                  <pic:blipFill>
                    <a:blip r:embed="rId33">
                      <a:extLst>
                        <a:ext uri="{28A0092B-C50C-407E-A947-70E740481C1C}">
                          <a14:useLocalDpi xmlns:a14="http://schemas.microsoft.com/office/drawing/2010/main" val="0"/>
                        </a:ext>
                      </a:extLst>
                    </a:blip>
                    <a:srcRect l="2118" r="8744"/>
                    <a:stretch>
                      <a:fillRect/>
                    </a:stretch>
                  </pic:blipFill>
                  <pic:spPr>
                    <a:xfrm>
                      <a:off x="0" y="0"/>
                      <a:ext cx="5040972" cy="1552255"/>
                    </a:xfrm>
                    <a:prstGeom prst="rect">
                      <a:avLst/>
                    </a:prstGeom>
                    <a:noFill/>
                    <a:ln>
                      <a:noFill/>
                    </a:ln>
                  </pic:spPr>
                </pic:pic>
              </a:graphicData>
            </a:graphic>
          </wp:inline>
        </w:drawing>
      </w:r>
    </w:p>
    <w:p>
      <w:pPr>
        <w:pStyle w:val="6"/>
      </w:pPr>
      <w:bookmarkStart w:id="63" w:name="_Ref51735998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27</w:t>
      </w:r>
      <w:r>
        <w:fldChar w:fldCharType="end"/>
      </w:r>
      <w:bookmarkEnd w:id="63"/>
      <w:r>
        <w:t xml:space="preserve">   </w:t>
      </w:r>
      <w:r>
        <w:rPr>
          <w:rFonts w:hint="eastAsia"/>
        </w:rPr>
        <w:t>丝状真菌药敏试验项目</w:t>
      </w:r>
    </w:p>
    <w:p/>
    <w:p>
      <w:pPr>
        <w:pStyle w:val="4"/>
      </w:pPr>
      <w:bookmarkStart w:id="64" w:name="_Toc519069702"/>
      <w:r>
        <w:rPr>
          <w:rFonts w:hint="eastAsia"/>
        </w:rPr>
        <w:t>血清学检测</w:t>
      </w:r>
      <w:bookmarkEnd w:id="64"/>
    </w:p>
    <w:p>
      <w:r>
        <w:rPr>
          <w:rFonts w:hint="eastAsia"/>
        </w:rPr>
        <w:t>血清学检测是目前深部真菌感染诊断的重要手段，方法简便快速，且具有较高的敏感性和特异性。调查结果显示，有能力在院内开展血清学检测的医院约占总数的8</w:t>
      </w:r>
      <w:r>
        <w:t>4</w:t>
      </w:r>
      <w:r>
        <w:rPr>
          <w:rFonts w:hint="eastAsia"/>
        </w:rPr>
        <w:t>%；1</w:t>
      </w:r>
      <w:r>
        <w:t>6</w:t>
      </w:r>
      <w:r>
        <w:rPr>
          <w:rFonts w:hint="eastAsia"/>
        </w:rPr>
        <w:t>%</w:t>
      </w:r>
      <w:r>
        <w:t xml:space="preserve"> </w:t>
      </w:r>
      <w:r>
        <w:rPr>
          <w:rFonts w:hint="eastAsia"/>
        </w:rPr>
        <w:t>和2</w:t>
      </w:r>
      <w:r>
        <w:t>9</w:t>
      </w:r>
      <w:r>
        <w:rPr>
          <w:rFonts w:hint="eastAsia"/>
        </w:rPr>
        <w:t>%</w:t>
      </w:r>
      <w:r>
        <w:t xml:space="preserve"> </w:t>
      </w:r>
      <w:r>
        <w:rPr>
          <w:rFonts w:hint="eastAsia"/>
        </w:rPr>
        <w:t>的医院会送样本至外院或第三方机构进行检测的医院比例也较高。此外，3</w:t>
      </w:r>
      <w:r>
        <w:t>48</w:t>
      </w:r>
      <w:r>
        <w:rPr>
          <w:rFonts w:hint="eastAsia"/>
        </w:rPr>
        <w:t>家医院中有8%</w:t>
      </w:r>
      <w:r>
        <w:t xml:space="preserve"> </w:t>
      </w:r>
      <w:r>
        <w:rPr>
          <w:rFonts w:hint="eastAsia"/>
        </w:rPr>
        <w:t>的医院不进行任何血清学检测。</w:t>
      </w:r>
    </w:p>
    <w:p>
      <w:r>
        <w:rPr>
          <w:rFonts w:hint="eastAsia"/>
        </w:rPr>
        <w:t>在本院开展的血清学检测方法以1,</w:t>
      </w:r>
      <w:r>
        <w:t>3</w:t>
      </w:r>
      <w:r>
        <w:rPr>
          <w:rFonts w:hint="eastAsia"/>
        </w:rPr>
        <w:t>-</w:t>
      </w:r>
      <w:r>
        <w:rPr>
          <w:rFonts w:cs="Arial"/>
          <w:sz w:val="20"/>
          <w:szCs w:val="20"/>
        </w:rPr>
        <w:t>β</w:t>
      </w:r>
      <w:r>
        <w:t>-D-</w:t>
      </w:r>
      <w:r>
        <w:rPr>
          <w:rFonts w:hint="eastAsia"/>
        </w:rPr>
        <w:t>葡萄糖试验（G试验）、半乳甘露聚糖试验（GM试验）和隐球菌抗原试验为主，其中G试验和GM试验在本院的覆盖率分别为7</w:t>
      </w:r>
      <w:r>
        <w:t>7</w:t>
      </w:r>
      <w:r>
        <w:rPr>
          <w:rFonts w:hint="eastAsia"/>
        </w:rPr>
        <w:t>%和4</w:t>
      </w:r>
      <w:r>
        <w:t>7</w:t>
      </w:r>
      <w:r>
        <w:rPr>
          <w:rFonts w:hint="eastAsia"/>
        </w:rPr>
        <w:t>%（</w:t>
      </w:r>
      <w:r>
        <w:fldChar w:fldCharType="begin"/>
      </w:r>
      <w:r>
        <w:instrText xml:space="preserve"> </w:instrText>
      </w:r>
      <w:r>
        <w:rPr>
          <w:rFonts w:hint="eastAsia"/>
        </w:rPr>
        <w:instrText xml:space="preserve">REF _Ref517188365 \h</w:instrText>
      </w:r>
      <w:r>
        <w:instrText xml:space="preserve"> </w:instrText>
      </w:r>
      <w:r>
        <w:fldChar w:fldCharType="separate"/>
      </w:r>
      <w:r>
        <w:rPr>
          <w:rFonts w:hint="eastAsia"/>
        </w:rPr>
        <w:t xml:space="preserve">图 </w:t>
      </w:r>
      <w:r>
        <w:t>28</w:t>
      </w:r>
      <w:r>
        <w:fldChar w:fldCharType="end"/>
      </w:r>
      <w:r>
        <w:rPr>
          <w:rFonts w:hint="eastAsia"/>
        </w:rPr>
        <w:t>）。从送检数量上看，综合本院、送至外院和第三方机构的数据显示，所有血清学检测方法中，G试验的应用最广，占总送检量的6</w:t>
      </w:r>
      <w:r>
        <w:t>3</w:t>
      </w:r>
      <w:r>
        <w:rPr>
          <w:rFonts w:hint="eastAsia"/>
        </w:rPr>
        <w:t>%；其次为G</w:t>
      </w:r>
      <w:r>
        <w:t>M</w:t>
      </w:r>
      <w:r>
        <w:rPr>
          <w:rFonts w:hint="eastAsia"/>
        </w:rPr>
        <w:t>试验和隐球菌抗原检测，分别占2</w:t>
      </w:r>
      <w:r>
        <w:t>9</w:t>
      </w:r>
      <w:r>
        <w:rPr>
          <w:rFonts w:hint="eastAsia"/>
        </w:rPr>
        <w:t>%</w:t>
      </w:r>
      <w:r>
        <w:t xml:space="preserve"> </w:t>
      </w:r>
      <w:r>
        <w:rPr>
          <w:rFonts w:hint="eastAsia"/>
        </w:rPr>
        <w:t>和7%；曲霉菌抗体、念珠菌抗原和念珠菌抗体测试的应用较少，送检量仅占总血清学检测量的0</w:t>
      </w:r>
      <w:r>
        <w:t>.5</w:t>
      </w:r>
      <w:r>
        <w:rPr>
          <w:rFonts w:hint="eastAsia"/>
        </w:rPr>
        <w:t>%（</w:t>
      </w:r>
      <w:r>
        <w:fldChar w:fldCharType="begin"/>
      </w:r>
      <w:r>
        <w:instrText xml:space="preserve"> </w:instrText>
      </w:r>
      <w:r>
        <w:rPr>
          <w:rFonts w:hint="eastAsia"/>
        </w:rPr>
        <w:instrText xml:space="preserve">REF _Ref517188965 \h</w:instrText>
      </w:r>
      <w:r>
        <w:instrText xml:space="preserve"> </w:instrText>
      </w:r>
      <w:r>
        <w:fldChar w:fldCharType="separate"/>
      </w:r>
      <w:r>
        <w:rPr>
          <w:rFonts w:hint="eastAsia"/>
        </w:rPr>
        <w:t xml:space="preserve">图 </w:t>
      </w:r>
      <w:r>
        <w:t>29</w:t>
      </w:r>
      <w:r>
        <w:fldChar w:fldCharType="end"/>
      </w:r>
      <w:r>
        <w:rPr>
          <w:rFonts w:hint="eastAsia"/>
        </w:rPr>
        <w:t>）。</w:t>
      </w:r>
    </w:p>
    <w:p/>
    <w:p>
      <w:pPr>
        <w:ind w:firstLine="0"/>
        <w:jc w:val="center"/>
      </w:pPr>
      <w:r>
        <w:drawing>
          <wp:inline distT="0" distB="0" distL="0" distR="0">
            <wp:extent cx="5086350" cy="1724660"/>
            <wp:effectExtent l="0" t="0" r="0" b="889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34">
                      <a:extLst>
                        <a:ext uri="{28A0092B-C50C-407E-A947-70E740481C1C}">
                          <a14:useLocalDpi xmlns:a14="http://schemas.microsoft.com/office/drawing/2010/main" val="0"/>
                        </a:ext>
                      </a:extLst>
                    </a:blip>
                    <a:srcRect r="7866"/>
                    <a:stretch>
                      <a:fillRect/>
                    </a:stretch>
                  </pic:blipFill>
                  <pic:spPr>
                    <a:xfrm>
                      <a:off x="0" y="0"/>
                      <a:ext cx="5096867" cy="1728588"/>
                    </a:xfrm>
                    <a:prstGeom prst="rect">
                      <a:avLst/>
                    </a:prstGeom>
                    <a:noFill/>
                    <a:ln>
                      <a:noFill/>
                    </a:ln>
                  </pic:spPr>
                </pic:pic>
              </a:graphicData>
            </a:graphic>
          </wp:inline>
        </w:drawing>
      </w:r>
    </w:p>
    <w:p>
      <w:pPr>
        <w:pStyle w:val="6"/>
      </w:pPr>
      <w:bookmarkStart w:id="65" w:name="_Ref51718836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28</w:t>
      </w:r>
      <w:r>
        <w:fldChar w:fldCharType="end"/>
      </w:r>
      <w:bookmarkEnd w:id="65"/>
      <w:r>
        <w:t xml:space="preserve">   </w:t>
      </w:r>
      <w:r>
        <w:rPr>
          <w:rFonts w:hint="eastAsia"/>
        </w:rPr>
        <w:t>真菌血清学检测项目开展情况</w:t>
      </w:r>
    </w:p>
    <w:p/>
    <w:p>
      <w:pPr>
        <w:jc w:val="center"/>
      </w:pPr>
      <w:r>
        <w:drawing>
          <wp:inline distT="0" distB="0" distL="0" distR="0">
            <wp:extent cx="3924300" cy="2244090"/>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32853" cy="2249127"/>
                    </a:xfrm>
                    <a:prstGeom prst="rect">
                      <a:avLst/>
                    </a:prstGeom>
                    <a:noFill/>
                  </pic:spPr>
                </pic:pic>
              </a:graphicData>
            </a:graphic>
          </wp:inline>
        </w:drawing>
      </w:r>
    </w:p>
    <w:p>
      <w:pPr>
        <w:pStyle w:val="6"/>
      </w:pPr>
      <w:bookmarkStart w:id="66" w:name="_Ref51718896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29</w:t>
      </w:r>
      <w:r>
        <w:fldChar w:fldCharType="end"/>
      </w:r>
      <w:bookmarkEnd w:id="66"/>
      <w:r>
        <w:t xml:space="preserve">   </w:t>
      </w:r>
      <w:r>
        <w:rPr>
          <w:rFonts w:hint="eastAsia"/>
        </w:rPr>
        <w:t>各种血清学检测方法占总送检量的比例</w:t>
      </w:r>
    </w:p>
    <w:p/>
    <w:p>
      <w:r>
        <w:fldChar w:fldCharType="begin"/>
      </w:r>
      <w:r>
        <w:instrText xml:space="preserve"> </w:instrText>
      </w:r>
      <w:r>
        <w:rPr>
          <w:rFonts w:hint="eastAsia"/>
        </w:rPr>
        <w:instrText xml:space="preserve">REF _Ref517190087 \h</w:instrText>
      </w:r>
      <w:r>
        <w:instrText xml:space="preserve"> </w:instrText>
      </w:r>
      <w:r>
        <w:fldChar w:fldCharType="separate"/>
      </w:r>
      <w:r>
        <w:rPr>
          <w:rFonts w:hint="eastAsia"/>
        </w:rPr>
        <w:t xml:space="preserve">图 </w:t>
      </w:r>
      <w:r>
        <w:t>30</w:t>
      </w:r>
      <w:r>
        <w:fldChar w:fldCharType="end"/>
      </w:r>
      <w:r>
        <w:rPr>
          <w:rFonts w:hint="eastAsia"/>
        </w:rPr>
        <w:t>从送检量角度展示了各血清学试验方法在本院、外院、第三方机构开展的比例。由图中可以看出，G</w:t>
      </w:r>
      <w:r>
        <w:t xml:space="preserve"> </w:t>
      </w:r>
      <w:r>
        <w:rPr>
          <w:rFonts w:hint="eastAsia"/>
        </w:rPr>
        <w:t>试验和念珠菌抗体测试主要在本院开展；而GM试验、曲霉菌抗体检测和念珠菌抗原检测均有较高的外送检测需求，在本院开展的检测数量仅占总量的7</w:t>
      </w:r>
      <w:r>
        <w:t>6</w:t>
      </w:r>
      <w:r>
        <w:rPr>
          <w:rFonts w:hint="eastAsia"/>
        </w:rPr>
        <w:t>%、</w:t>
      </w:r>
      <w:r>
        <w:t>60</w:t>
      </w:r>
      <w:r>
        <w:rPr>
          <w:rFonts w:hint="eastAsia"/>
        </w:rPr>
        <w:t>%和</w:t>
      </w:r>
      <w:r>
        <w:t>80</w:t>
      </w:r>
      <w:r>
        <w:rPr>
          <w:rFonts w:hint="eastAsia"/>
        </w:rPr>
        <w:t>%（</w:t>
      </w:r>
      <w:r>
        <w:fldChar w:fldCharType="begin"/>
      </w:r>
      <w:r>
        <w:instrText xml:space="preserve"> </w:instrText>
      </w:r>
      <w:r>
        <w:rPr>
          <w:rFonts w:hint="eastAsia"/>
        </w:rPr>
        <w:instrText xml:space="preserve">REF _Ref517190087 \h</w:instrText>
      </w:r>
      <w:r>
        <w:instrText xml:space="preserve"> </w:instrText>
      </w:r>
      <w:r>
        <w:fldChar w:fldCharType="separate"/>
      </w:r>
      <w:r>
        <w:rPr>
          <w:rFonts w:hint="eastAsia"/>
        </w:rPr>
        <w:t xml:space="preserve">图 </w:t>
      </w:r>
      <w:r>
        <w:t>30</w:t>
      </w:r>
      <w:r>
        <w:fldChar w:fldCharType="end"/>
      </w:r>
      <w:r>
        <w:rPr>
          <w:rFonts w:hint="eastAsia"/>
        </w:rPr>
        <w:t>）。</w:t>
      </w:r>
    </w:p>
    <w:p>
      <w:pPr>
        <w:jc w:val="center"/>
      </w:pPr>
      <w:r>
        <w:drawing>
          <wp:inline distT="0" distB="0" distL="0" distR="0">
            <wp:extent cx="4600575" cy="2439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13270" cy="2446881"/>
                    </a:xfrm>
                    <a:prstGeom prst="rect">
                      <a:avLst/>
                    </a:prstGeom>
                    <a:noFill/>
                  </pic:spPr>
                </pic:pic>
              </a:graphicData>
            </a:graphic>
          </wp:inline>
        </w:drawing>
      </w:r>
    </w:p>
    <w:p>
      <w:pPr>
        <w:pStyle w:val="6"/>
      </w:pPr>
      <w:bookmarkStart w:id="67" w:name="_Ref51719008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30</w:t>
      </w:r>
      <w:r>
        <w:fldChar w:fldCharType="end"/>
      </w:r>
      <w:bookmarkEnd w:id="67"/>
      <w:r>
        <w:t xml:space="preserve">   </w:t>
      </w:r>
      <w:r>
        <w:rPr>
          <w:rFonts w:hint="eastAsia"/>
        </w:rPr>
        <w:t>各种血清学检测方法在本院、外院和第三方机构开展的数量比例</w:t>
      </w:r>
    </w:p>
    <w:p/>
    <w:p>
      <w:pPr>
        <w:pStyle w:val="3"/>
      </w:pPr>
      <w:bookmarkStart w:id="68" w:name="_Toc519069703"/>
      <w:r>
        <w:rPr>
          <w:rFonts w:hint="eastAsia"/>
        </w:rPr>
        <w:t>室间质评和科研</w:t>
      </w:r>
      <w:bookmarkEnd w:id="68"/>
      <w:r>
        <w:rPr>
          <w:rFonts w:hint="eastAsia"/>
        </w:rPr>
        <w:t xml:space="preserve"> </w:t>
      </w:r>
    </w:p>
    <w:p>
      <w:pPr>
        <w:pStyle w:val="4"/>
        <w:numPr>
          <w:ilvl w:val="0"/>
          <w:numId w:val="8"/>
        </w:numPr>
      </w:pPr>
      <w:bookmarkStart w:id="69" w:name="_Toc519069704"/>
      <w:r>
        <w:rPr>
          <w:rFonts w:hint="eastAsia"/>
        </w:rPr>
        <w:t>室间质评</w:t>
      </w:r>
      <w:bookmarkEnd w:id="69"/>
    </w:p>
    <w:p>
      <w:r>
        <w:rPr>
          <w:rFonts w:hint="eastAsia"/>
        </w:rPr>
        <w:t>实验室室间质评是推荐的一种评价实验室工作质量的方法，它不仅可以监督实验室质量控制工作的开展，而且可以促进实验室建立和完善真菌鉴定的标准方法。此次调查显示，参与室间质评的医院比例不高，</w:t>
      </w:r>
      <w:r>
        <w:t xml:space="preserve">43% </w:t>
      </w:r>
      <w:r>
        <w:rPr>
          <w:rFonts w:hint="eastAsia"/>
        </w:rPr>
        <w:t>的医院完全不参加任何级别的真菌实验室室间质评。4</w:t>
      </w:r>
      <w:r>
        <w:t>0</w:t>
      </w:r>
      <w:r>
        <w:rPr>
          <w:rFonts w:hint="eastAsia"/>
        </w:rPr>
        <w:t>-4</w:t>
      </w:r>
      <w:r>
        <w:t>5</w:t>
      </w:r>
      <w:r>
        <w:rPr>
          <w:rFonts w:hint="eastAsia"/>
        </w:rPr>
        <w:t>%</w:t>
      </w:r>
      <w:r>
        <w:t xml:space="preserve"> </w:t>
      </w:r>
      <w:r>
        <w:rPr>
          <w:rFonts w:hint="eastAsia"/>
        </w:rPr>
        <w:t>的医院有参与卫计委或省级的室间质评；参加国际CAP</w:t>
      </w:r>
      <w:r>
        <w:t xml:space="preserve"> </w:t>
      </w:r>
      <w:r>
        <w:rPr>
          <w:rFonts w:hint="eastAsia"/>
        </w:rPr>
        <w:t>室间质评的仅2%（</w:t>
      </w:r>
      <w:r>
        <w:fldChar w:fldCharType="begin"/>
      </w:r>
      <w:r>
        <w:instrText xml:space="preserve"> </w:instrText>
      </w:r>
      <w:r>
        <w:rPr>
          <w:rFonts w:hint="eastAsia"/>
        </w:rPr>
        <w:instrText xml:space="preserve">REF _Ref517774650 \h</w:instrText>
      </w:r>
      <w:r>
        <w:instrText xml:space="preserve"> </w:instrText>
      </w:r>
      <w:r>
        <w:fldChar w:fldCharType="separate"/>
      </w:r>
      <w:r>
        <w:rPr>
          <w:rFonts w:hint="eastAsia"/>
        </w:rPr>
        <w:t xml:space="preserve">图 </w:t>
      </w:r>
      <w:r>
        <w:t>31</w:t>
      </w:r>
      <w:r>
        <w:fldChar w:fldCharType="end"/>
      </w:r>
      <w:r>
        <w:rPr>
          <w:rFonts w:hint="eastAsia"/>
        </w:rPr>
        <w:t>）。</w:t>
      </w:r>
    </w:p>
    <w:p>
      <w:r>
        <w:rPr>
          <w:rFonts w:hint="eastAsia"/>
        </w:rPr>
        <w:t>一方面，是否参与室间质评受医院规模影响，规模越大的医院参与质评的比例越高（</w:t>
      </w:r>
      <w:r>
        <w:fldChar w:fldCharType="begin"/>
      </w:r>
      <w:r>
        <w:instrText xml:space="preserve"> </w:instrText>
      </w:r>
      <w:r>
        <w:rPr>
          <w:rFonts w:hint="eastAsia"/>
        </w:rPr>
        <w:instrText xml:space="preserve">REF _Ref517776062 \h</w:instrText>
      </w:r>
      <w:r>
        <w:instrText xml:space="preserve"> </w:instrText>
      </w:r>
      <w:r>
        <w:fldChar w:fldCharType="separate"/>
      </w:r>
      <w:r>
        <w:rPr>
          <w:rFonts w:hint="eastAsia"/>
        </w:rPr>
        <w:t xml:space="preserve">图 </w:t>
      </w:r>
      <w:r>
        <w:t>32</w:t>
      </w:r>
      <w:r>
        <w:fldChar w:fldCharType="end"/>
      </w:r>
      <w:r>
        <w:rPr>
          <w:rFonts w:hint="eastAsia"/>
        </w:rPr>
        <w:t>），且参与</w:t>
      </w:r>
      <w:r>
        <w:t>CAP</w:t>
      </w:r>
      <w:r>
        <w:rPr>
          <w:rFonts w:hint="eastAsia"/>
        </w:rPr>
        <w:t>、卫计委、省级等高级别的比例也越高。相对而言，床位较少的医院参与市级质评较多。另一方面，是否参与室间质评也受行政因素影响，北京、上海两地参与质评的医院比例都在8</w:t>
      </w:r>
      <w:r>
        <w:t>0</w:t>
      </w:r>
      <w:r>
        <w:rPr>
          <w:rFonts w:hint="eastAsia"/>
        </w:rPr>
        <w:t>%</w:t>
      </w:r>
      <w:r>
        <w:t xml:space="preserve"> </w:t>
      </w:r>
      <w:r>
        <w:rPr>
          <w:rFonts w:hint="eastAsia"/>
        </w:rPr>
        <w:t>以上，而江西、山西、陕西等地却不足3</w:t>
      </w:r>
      <w:r>
        <w:t>0</w:t>
      </w:r>
      <w:r>
        <w:rPr>
          <w:rFonts w:hint="eastAsia"/>
        </w:rPr>
        <w:t>%。</w:t>
      </w:r>
    </w:p>
    <w:p/>
    <w:p>
      <w:pPr>
        <w:jc w:val="center"/>
      </w:pPr>
      <w:r>
        <w:drawing>
          <wp:inline distT="0" distB="0" distL="0" distR="0">
            <wp:extent cx="4911725" cy="1797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952898" cy="1812679"/>
                    </a:xfrm>
                    <a:prstGeom prst="rect">
                      <a:avLst/>
                    </a:prstGeom>
                    <a:noFill/>
                  </pic:spPr>
                </pic:pic>
              </a:graphicData>
            </a:graphic>
          </wp:inline>
        </w:drawing>
      </w:r>
    </w:p>
    <w:p>
      <w:pPr>
        <w:pStyle w:val="6"/>
      </w:pPr>
      <w:bookmarkStart w:id="70" w:name="_Ref517774650"/>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31</w:t>
      </w:r>
      <w:r>
        <w:fldChar w:fldCharType="end"/>
      </w:r>
      <w:bookmarkEnd w:id="70"/>
      <w:r>
        <w:t xml:space="preserve">   </w:t>
      </w:r>
      <w:r>
        <w:rPr>
          <w:rFonts w:hint="eastAsia"/>
        </w:rPr>
        <w:t>医院参与室间质评情况</w:t>
      </w:r>
    </w:p>
    <w:p/>
    <w:p>
      <w:r>
        <w:drawing>
          <wp:inline distT="0" distB="0" distL="0" distR="0">
            <wp:extent cx="5213985" cy="18186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8">
                      <a:extLst>
                        <a:ext uri="{28A0092B-C50C-407E-A947-70E740481C1C}">
                          <a14:useLocalDpi xmlns:a14="http://schemas.microsoft.com/office/drawing/2010/main" val="0"/>
                        </a:ext>
                      </a:extLst>
                    </a:blip>
                    <a:srcRect l="8370"/>
                    <a:stretch>
                      <a:fillRect/>
                    </a:stretch>
                  </pic:blipFill>
                  <pic:spPr>
                    <a:xfrm>
                      <a:off x="0" y="0"/>
                      <a:ext cx="5217875" cy="1820500"/>
                    </a:xfrm>
                    <a:prstGeom prst="rect">
                      <a:avLst/>
                    </a:prstGeom>
                    <a:noFill/>
                    <a:ln>
                      <a:noFill/>
                    </a:ln>
                  </pic:spPr>
                </pic:pic>
              </a:graphicData>
            </a:graphic>
          </wp:inline>
        </w:drawing>
      </w:r>
    </w:p>
    <w:p>
      <w:pPr>
        <w:pStyle w:val="6"/>
      </w:pPr>
      <w:bookmarkStart w:id="71" w:name="_Ref51777606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32</w:t>
      </w:r>
      <w:r>
        <w:fldChar w:fldCharType="end"/>
      </w:r>
      <w:bookmarkEnd w:id="71"/>
      <w:r>
        <w:t xml:space="preserve">   </w:t>
      </w:r>
      <w:r>
        <w:rPr>
          <w:rFonts w:hint="eastAsia"/>
        </w:rPr>
        <w:t>医院规模越大，参与室间质评比例越高</w:t>
      </w:r>
    </w:p>
    <w:p/>
    <w:p>
      <w:pPr>
        <w:pStyle w:val="4"/>
      </w:pPr>
      <w:bookmarkStart w:id="72" w:name="_Toc519069705"/>
      <w:r>
        <w:rPr>
          <w:rFonts w:hint="eastAsia"/>
        </w:rPr>
        <w:t>科研</w:t>
      </w:r>
      <w:bookmarkEnd w:id="72"/>
    </w:p>
    <w:p>
      <w:r>
        <w:rPr>
          <w:rFonts w:hint="eastAsia"/>
        </w:rPr>
        <w:t>3</w:t>
      </w:r>
      <w:r>
        <w:t>48</w:t>
      </w:r>
      <w:r>
        <w:rPr>
          <w:rFonts w:hint="eastAsia"/>
        </w:rPr>
        <w:t>家参与调研的医院中，有26%的医院从事科研活动。其中，规模越大的医院参与科研的比例越高（</w:t>
      </w:r>
      <w:r>
        <w:fldChar w:fldCharType="begin"/>
      </w:r>
      <w:r>
        <w:instrText xml:space="preserve"> </w:instrText>
      </w:r>
      <w:r>
        <w:rPr>
          <w:rFonts w:hint="eastAsia"/>
        </w:rPr>
        <w:instrText xml:space="preserve">REF _Ref517776261 \h</w:instrText>
      </w:r>
      <w:r>
        <w:instrText xml:space="preserve"> </w:instrText>
      </w:r>
      <w:r>
        <w:fldChar w:fldCharType="separate"/>
      </w:r>
      <w:r>
        <w:rPr>
          <w:rFonts w:hint="eastAsia"/>
        </w:rPr>
        <w:t xml:space="preserve">图 </w:t>
      </w:r>
      <w:r>
        <w:t>33</w:t>
      </w:r>
      <w:r>
        <w:fldChar w:fldCharType="end"/>
      </w:r>
      <w:r>
        <w:rPr>
          <w:rFonts w:hint="eastAsia"/>
        </w:rPr>
        <w:t>，左），地处一线城市的医院参与科研的比例也较高（</w:t>
      </w:r>
      <w:r>
        <w:fldChar w:fldCharType="begin"/>
      </w:r>
      <w:r>
        <w:instrText xml:space="preserve"> </w:instrText>
      </w:r>
      <w:r>
        <w:rPr>
          <w:rFonts w:hint="eastAsia"/>
        </w:rPr>
        <w:instrText xml:space="preserve">REF _Ref517776261 \h</w:instrText>
      </w:r>
      <w:r>
        <w:instrText xml:space="preserve"> </w:instrText>
      </w:r>
      <w:r>
        <w:fldChar w:fldCharType="separate"/>
      </w:r>
      <w:r>
        <w:rPr>
          <w:rFonts w:hint="eastAsia"/>
        </w:rPr>
        <w:t xml:space="preserve">图 </w:t>
      </w:r>
      <w:r>
        <w:t>33</w:t>
      </w:r>
      <w:r>
        <w:fldChar w:fldCharType="end"/>
      </w:r>
      <w:r>
        <w:rPr>
          <w:rFonts w:hint="eastAsia"/>
        </w:rPr>
        <w:t>，右）。</w:t>
      </w:r>
    </w:p>
    <w:p>
      <w:pPr>
        <w:ind w:firstLine="0"/>
        <w:jc w:val="center"/>
      </w:pPr>
      <w:r>
        <w:drawing>
          <wp:inline distT="0" distB="0" distL="0" distR="0">
            <wp:extent cx="5731510" cy="2272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9"/>
                    <a:srcRect b="14388"/>
                    <a:stretch>
                      <a:fillRect/>
                    </a:stretch>
                  </pic:blipFill>
                  <pic:spPr>
                    <a:xfrm>
                      <a:off x="0" y="0"/>
                      <a:ext cx="5731510" cy="2272937"/>
                    </a:xfrm>
                    <a:prstGeom prst="rect">
                      <a:avLst/>
                    </a:prstGeom>
                    <a:ln>
                      <a:noFill/>
                    </a:ln>
                  </pic:spPr>
                </pic:pic>
              </a:graphicData>
            </a:graphic>
          </wp:inline>
        </w:drawing>
      </w:r>
    </w:p>
    <w:p>
      <w:pPr>
        <w:pStyle w:val="6"/>
      </w:pPr>
      <w:bookmarkStart w:id="73" w:name="_Ref517776261"/>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33</w:t>
      </w:r>
      <w:r>
        <w:fldChar w:fldCharType="end"/>
      </w:r>
      <w:bookmarkEnd w:id="73"/>
      <w:r>
        <w:t xml:space="preserve">   </w:t>
      </w:r>
      <w:r>
        <w:rPr>
          <w:rFonts w:hint="eastAsia"/>
        </w:rPr>
        <w:t>医院规模越大，从事科研的比例越高</w:t>
      </w:r>
    </w:p>
    <w:p/>
    <w:p/>
    <w:p>
      <w:pPr>
        <w:pStyle w:val="2"/>
      </w:pPr>
      <w:r>
        <w:br w:type="page"/>
      </w:r>
    </w:p>
    <w:p>
      <w:pPr>
        <w:pStyle w:val="2"/>
      </w:pPr>
      <w:bookmarkStart w:id="74" w:name="_Toc519069706"/>
      <w:r>
        <w:rPr>
          <w:rFonts w:hint="eastAsia"/>
        </w:rPr>
        <w:t>整体测评</w:t>
      </w:r>
      <w:bookmarkEnd w:id="74"/>
    </w:p>
    <w:p>
      <w:pPr>
        <w:pStyle w:val="3"/>
        <w:numPr>
          <w:ilvl w:val="0"/>
          <w:numId w:val="9"/>
        </w:numPr>
      </w:pPr>
      <w:bookmarkStart w:id="75" w:name="_Toc519069707"/>
      <w:r>
        <w:rPr>
          <w:rFonts w:hint="eastAsia"/>
        </w:rPr>
        <w:t>评分标准</w:t>
      </w:r>
      <w:bookmarkEnd w:id="75"/>
    </w:p>
    <w:p>
      <w:r>
        <w:rPr>
          <w:rFonts w:hint="eastAsia"/>
        </w:rPr>
        <w:t>为了更全面的综合评估三甲医院的基线真菌检测能力，调研专家组成员经讨论制定了以下评分细则（见</w:t>
      </w:r>
      <w:r>
        <w:fldChar w:fldCharType="begin"/>
      </w:r>
      <w:r>
        <w:instrText xml:space="preserve"> REF _Ref518567338 \h </w:instrText>
      </w:r>
      <w:r>
        <w:fldChar w:fldCharType="separate"/>
      </w:r>
      <w:r>
        <w:rPr>
          <w:rFonts w:hint="eastAsia"/>
        </w:rPr>
        <w:t xml:space="preserve">表 </w:t>
      </w:r>
      <w:r>
        <w:t>2</w:t>
      </w:r>
      <w:r>
        <w:fldChar w:fldCharType="end"/>
      </w:r>
      <w:r>
        <w:rPr>
          <w:rFonts w:hint="eastAsia"/>
        </w:rPr>
        <w:t>）。评分系统综合考量工作硬件、人员配置、真菌检测量、院内开展真菌检测项目、质评及科研五项因素，并根据各项因素的相对重要性设立相应权重，以便对各医院的真菌检测能力进行综合评估。根据此评分细则，该评分系统满分为8</w:t>
      </w:r>
      <w:r>
        <w:t>9</w:t>
      </w:r>
      <w:r>
        <w:rPr>
          <w:rFonts w:hint="eastAsia"/>
        </w:rPr>
        <w:t>分。</w:t>
      </w:r>
    </w:p>
    <w:p>
      <w:pPr>
        <w:ind w:firstLine="0"/>
      </w:pPr>
    </w:p>
    <w:p>
      <w:pPr>
        <w:pStyle w:val="3"/>
      </w:pPr>
      <w:bookmarkStart w:id="76" w:name="_Toc519069708"/>
      <w:r>
        <w:rPr>
          <w:rFonts w:hint="eastAsia"/>
        </w:rPr>
        <w:t>测评结果</w:t>
      </w:r>
      <w:bookmarkEnd w:id="76"/>
    </w:p>
    <w:p>
      <w:r>
        <w:rPr>
          <w:rFonts w:hint="eastAsia"/>
        </w:rPr>
        <w:t>测评结果显示，参与调研的3</w:t>
      </w:r>
      <w:r>
        <w:t>48</w:t>
      </w:r>
      <w:r>
        <w:rPr>
          <w:rFonts w:hint="eastAsia"/>
        </w:rPr>
        <w:t>家医院总体得分不高，平均分仅为3</w:t>
      </w:r>
      <w:r>
        <w:t>7.7</w:t>
      </w:r>
      <w:r>
        <w:rPr>
          <w:rFonts w:hint="eastAsia"/>
        </w:rPr>
        <w:t>分，还不及满分8</w:t>
      </w:r>
      <w:r>
        <w:t>9</w:t>
      </w:r>
      <w:r>
        <w:rPr>
          <w:rFonts w:hint="eastAsia"/>
        </w:rPr>
        <w:t>分的一半。3</w:t>
      </w:r>
      <w:r>
        <w:t>48</w:t>
      </w:r>
      <w:r>
        <w:rPr>
          <w:rFonts w:hint="eastAsia"/>
        </w:rPr>
        <w:t>家医院得分的分布情况如</w:t>
      </w:r>
      <w:r>
        <w:fldChar w:fldCharType="begin"/>
      </w:r>
      <w:r>
        <w:instrText xml:space="preserve"> </w:instrText>
      </w:r>
      <w:r>
        <w:rPr>
          <w:rFonts w:hint="eastAsia"/>
        </w:rPr>
        <w:instrText xml:space="preserve">REF _Ref518405245 \h</w:instrText>
      </w:r>
      <w:r>
        <w:instrText xml:space="preserve"> </w:instrText>
      </w:r>
      <w:r>
        <w:fldChar w:fldCharType="separate"/>
      </w:r>
      <w:r>
        <w:rPr>
          <w:rFonts w:hint="eastAsia"/>
        </w:rPr>
        <w:t xml:space="preserve">图 </w:t>
      </w:r>
      <w:r>
        <w:t>34</w:t>
      </w:r>
      <w:r>
        <w:fldChar w:fldCharType="end"/>
      </w:r>
      <w:r>
        <w:rPr>
          <w:rFonts w:hint="eastAsia"/>
        </w:rPr>
        <w:t>所示：超过6</w:t>
      </w:r>
      <w:r>
        <w:t>0</w:t>
      </w:r>
      <w:r>
        <w:rPr>
          <w:rFonts w:hint="eastAsia"/>
        </w:rPr>
        <w:t>分的医院只有1</w:t>
      </w:r>
      <w:r>
        <w:t>9</w:t>
      </w:r>
      <w:r>
        <w:rPr>
          <w:rFonts w:hint="eastAsia"/>
        </w:rPr>
        <w:t>家，其中最高分7</w:t>
      </w:r>
      <w:r>
        <w:t>2</w:t>
      </w:r>
      <w:r>
        <w:rPr>
          <w:rFonts w:hint="eastAsia"/>
        </w:rPr>
        <w:t>分；大部分医院（5</w:t>
      </w:r>
      <w:r>
        <w:t>3</w:t>
      </w:r>
      <w:r>
        <w:rPr>
          <w:rFonts w:hint="eastAsia"/>
        </w:rPr>
        <w:t>%）的综合得分在2</w:t>
      </w:r>
      <w:r>
        <w:t>0</w:t>
      </w:r>
      <w:r>
        <w:rPr>
          <w:rFonts w:hint="eastAsia"/>
        </w:rPr>
        <w:t>-</w:t>
      </w:r>
      <w:r>
        <w:t>40</w:t>
      </w:r>
      <w:r>
        <w:rPr>
          <w:rFonts w:hint="eastAsia"/>
        </w:rPr>
        <w:t>分区间内；另外，2</w:t>
      </w:r>
      <w:r>
        <w:t>8</w:t>
      </w:r>
      <w:r>
        <w:rPr>
          <w:rFonts w:hint="eastAsia"/>
        </w:rPr>
        <w:t>家医院（8%）得分不足2</w:t>
      </w:r>
      <w:r>
        <w:t>0</w:t>
      </w:r>
      <w:r>
        <w:rPr>
          <w:rFonts w:hint="eastAsia"/>
        </w:rPr>
        <w:t>分，其中最低得分仅7分。</w:t>
      </w:r>
    </w:p>
    <w:p>
      <w:r>
        <w:rPr>
          <w:rFonts w:hint="eastAsia"/>
        </w:rPr>
        <w:t>在全国范围内，不同地域间的整体水平相对均衡（</w:t>
      </w:r>
      <w:r>
        <w:fldChar w:fldCharType="begin"/>
      </w:r>
      <w:r>
        <w:instrText xml:space="preserve"> </w:instrText>
      </w:r>
      <w:r>
        <w:rPr>
          <w:rFonts w:hint="eastAsia"/>
        </w:rPr>
        <w:instrText xml:space="preserve">REF _Ref518409129 \h</w:instrText>
      </w:r>
      <w:r>
        <w:instrText xml:space="preserve"> </w:instrText>
      </w:r>
      <w:r>
        <w:fldChar w:fldCharType="separate"/>
      </w:r>
      <w:r>
        <w:rPr>
          <w:rFonts w:hint="eastAsia"/>
        </w:rPr>
        <w:t xml:space="preserve">图 </w:t>
      </w:r>
      <w:r>
        <w:t>35</w:t>
      </w:r>
      <w:r>
        <w:fldChar w:fldCharType="end"/>
      </w:r>
      <w:r>
        <w:rPr>
          <w:rFonts w:hint="eastAsia"/>
        </w:rPr>
        <w:t>），得分最高的中南地区与得分最低的北部地区平均分差仅为2.</w:t>
      </w:r>
      <w:r>
        <w:t>3</w:t>
      </w:r>
      <w:r>
        <w:rPr>
          <w:rFonts w:hint="eastAsia"/>
        </w:rPr>
        <w:t>分。然而，全国综合排名前2</w:t>
      </w:r>
      <w:r>
        <w:t>0</w:t>
      </w:r>
      <w:r>
        <w:rPr>
          <w:rFonts w:hint="eastAsia"/>
        </w:rPr>
        <w:t>的医院中（</w:t>
      </w:r>
      <w:r>
        <w:fldChar w:fldCharType="begin"/>
      </w:r>
      <w:r>
        <w:instrText xml:space="preserve"> </w:instrText>
      </w:r>
      <w:r>
        <w:rPr>
          <w:rFonts w:hint="eastAsia"/>
        </w:rPr>
        <w:instrText xml:space="preserve">REF _Ref518654004 \h</w:instrText>
      </w:r>
      <w:r>
        <w:instrText xml:space="preserve"> </w:instrText>
      </w:r>
      <w:r>
        <w:fldChar w:fldCharType="separate"/>
      </w:r>
      <w:r>
        <w:rPr>
          <w:rFonts w:hint="eastAsia"/>
        </w:rPr>
        <w:t xml:space="preserve">表 </w:t>
      </w:r>
      <w:r>
        <w:t>3</w:t>
      </w:r>
      <w:r>
        <w:fldChar w:fldCharType="end"/>
      </w:r>
      <w:r>
        <w:rPr>
          <w:rFonts w:hint="eastAsia"/>
        </w:rPr>
        <w:t>），北部、华东、中南地区各占6席，西部地区却仅占</w:t>
      </w:r>
      <w:r>
        <w:t>2</w:t>
      </w:r>
      <w:r>
        <w:rPr>
          <w:rFonts w:hint="eastAsia"/>
        </w:rPr>
        <w:t>席（</w:t>
      </w:r>
      <w:r>
        <w:fldChar w:fldCharType="begin"/>
      </w:r>
      <w:r>
        <w:instrText xml:space="preserve"> </w:instrText>
      </w:r>
      <w:r>
        <w:rPr>
          <w:rFonts w:hint="eastAsia"/>
        </w:rPr>
        <w:instrText xml:space="preserve">REF _Ref518409129 \h</w:instrText>
      </w:r>
      <w:r>
        <w:instrText xml:space="preserve"> </w:instrText>
      </w:r>
      <w:r>
        <w:fldChar w:fldCharType="separate"/>
      </w:r>
      <w:r>
        <w:rPr>
          <w:rFonts w:hint="eastAsia"/>
        </w:rPr>
        <w:t xml:space="preserve">图 </w:t>
      </w:r>
      <w:r>
        <w:t>35</w:t>
      </w:r>
      <w:r>
        <w:fldChar w:fldCharType="end"/>
      </w:r>
      <w:r>
        <w:rPr>
          <w:rFonts w:hint="eastAsia"/>
        </w:rPr>
        <w:t>）。不同省市中，北京医院的真菌检测能力最高，参与调研的1</w:t>
      </w:r>
      <w:r>
        <w:t>1</w:t>
      </w:r>
      <w:r>
        <w:rPr>
          <w:rFonts w:hint="eastAsia"/>
        </w:rPr>
        <w:t>家医院平均得分5</w:t>
      </w:r>
      <w:r>
        <w:t>2.0</w:t>
      </w:r>
      <w:r>
        <w:rPr>
          <w:rFonts w:hint="eastAsia"/>
        </w:rPr>
        <w:t>分，远高于全国平均水平（3</w:t>
      </w:r>
      <w:r>
        <w:t>7.7</w:t>
      </w:r>
      <w:r>
        <w:rPr>
          <w:rFonts w:hint="eastAsia"/>
        </w:rPr>
        <w:t>分）；上海和湖北的整体水平也较高，近七成医院的综合得分在全国平均分之上；西藏、山西、吉林、安徽、江西、河南等地的水平相对较低。在不同城市中，医院的真菌检测水平依赖于城市发展水平：一线城市医院的平均水平最高，二三线城市的医院次之（</w:t>
      </w:r>
      <w:r>
        <w:fldChar w:fldCharType="begin"/>
      </w:r>
      <w:r>
        <w:instrText xml:space="preserve"> </w:instrText>
      </w:r>
      <w:r>
        <w:rPr>
          <w:rFonts w:hint="eastAsia"/>
        </w:rPr>
        <w:instrText xml:space="preserve">REF _Ref518477237 \h</w:instrText>
      </w:r>
      <w:r>
        <w:instrText xml:space="preserve"> </w:instrText>
      </w:r>
      <w:r>
        <w:fldChar w:fldCharType="separate"/>
      </w:r>
      <w:r>
        <w:rPr>
          <w:rFonts w:hint="eastAsia"/>
        </w:rPr>
        <w:t xml:space="preserve">图 </w:t>
      </w:r>
      <w:r>
        <w:t>36</w:t>
      </w:r>
      <w:r>
        <w:fldChar w:fldCharType="end"/>
      </w:r>
      <w:r>
        <w:rPr>
          <w:rFonts w:hint="eastAsia"/>
        </w:rPr>
        <w:t>）。在不同规模的医院中，医院规模越大，其整体真菌检测水平越高（</w:t>
      </w:r>
      <w:r>
        <w:fldChar w:fldCharType="begin"/>
      </w:r>
      <w:r>
        <w:instrText xml:space="preserve"> </w:instrText>
      </w:r>
      <w:r>
        <w:rPr>
          <w:rFonts w:hint="eastAsia"/>
        </w:rPr>
        <w:instrText xml:space="preserve">REF _Ref518477250 \h</w:instrText>
      </w:r>
      <w:r>
        <w:instrText xml:space="preserve"> </w:instrText>
      </w:r>
      <w:r>
        <w:fldChar w:fldCharType="separate"/>
      </w:r>
      <w:r>
        <w:rPr>
          <w:rFonts w:hint="eastAsia"/>
        </w:rPr>
        <w:t xml:space="preserve">图 </w:t>
      </w:r>
      <w:r>
        <w:t>37</w:t>
      </w:r>
      <w:r>
        <w:fldChar w:fldCharType="end"/>
      </w:r>
      <w:r>
        <w:rPr>
          <w:rFonts w:hint="eastAsia"/>
        </w:rPr>
        <w:t>）。</w:t>
      </w:r>
    </w:p>
    <w:p/>
    <w:p>
      <w:pPr>
        <w:ind w:firstLine="0"/>
        <w:jc w:val="center"/>
      </w:pPr>
      <w:r>
        <w:drawing>
          <wp:inline distT="0" distB="0" distL="0" distR="0">
            <wp:extent cx="5668645" cy="298259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693552" cy="2996228"/>
                    </a:xfrm>
                    <a:prstGeom prst="rect">
                      <a:avLst/>
                    </a:prstGeom>
                    <a:noFill/>
                  </pic:spPr>
                </pic:pic>
              </a:graphicData>
            </a:graphic>
          </wp:inline>
        </w:drawing>
      </w:r>
    </w:p>
    <w:p>
      <w:pPr>
        <w:pStyle w:val="6"/>
      </w:pPr>
      <w:bookmarkStart w:id="77" w:name="_Ref51840524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34</w:t>
      </w:r>
      <w:r>
        <w:fldChar w:fldCharType="end"/>
      </w:r>
      <w:bookmarkEnd w:id="77"/>
      <w:r>
        <w:t xml:space="preserve">   </w:t>
      </w:r>
      <w:r>
        <w:rPr>
          <w:rFonts w:hint="eastAsia"/>
        </w:rPr>
        <w:t>医院综合得分直方图</w:t>
      </w:r>
    </w:p>
    <w:p/>
    <w:p>
      <w:pPr>
        <w:ind w:firstLine="0"/>
        <w:sectPr>
          <w:footerReference r:id="rId5" w:type="default"/>
          <w:pgSz w:w="11906" w:h="16838"/>
          <w:pgMar w:top="1440" w:right="1440" w:bottom="1440" w:left="1440" w:header="708" w:footer="708" w:gutter="0"/>
          <w:cols w:space="708" w:num="1"/>
          <w:titlePg/>
          <w:docGrid w:linePitch="360" w:charSpace="0"/>
        </w:sectPr>
      </w:pPr>
    </w:p>
    <w:p>
      <w:pPr>
        <w:pStyle w:val="6"/>
      </w:pPr>
      <w:bookmarkStart w:id="78" w:name="_Ref518567338"/>
      <w:bookmarkStart w:id="79" w:name="_Ref518567334"/>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bookmarkEnd w:id="78"/>
      <w:r>
        <w:t xml:space="preserve">   </w:t>
      </w:r>
      <w:r>
        <w:rPr>
          <w:rFonts w:hint="eastAsia"/>
        </w:rPr>
        <w:t>评分细则</w:t>
      </w:r>
      <w:bookmarkEnd w:id="79"/>
    </w:p>
    <w:tbl>
      <w:tblPr>
        <w:tblStyle w:val="20"/>
        <w:tblW w:w="140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0"/>
        <w:gridCol w:w="3780"/>
        <w:gridCol w:w="6750"/>
        <w:gridCol w:w="900"/>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参考类别</w:t>
            </w:r>
          </w:p>
        </w:tc>
        <w:tc>
          <w:tcPr>
            <w:tcW w:w="3780"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参考项目</w:t>
            </w:r>
          </w:p>
        </w:tc>
        <w:tc>
          <w:tcPr>
            <w:tcW w:w="6750"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单项评分标准</w:t>
            </w:r>
          </w:p>
        </w:tc>
        <w:tc>
          <w:tcPr>
            <w:tcW w:w="900"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分数</w:t>
            </w:r>
          </w:p>
        </w:tc>
        <w:tc>
          <w:tcPr>
            <w:tcW w:w="900"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 w:val="20"/>
                <w:szCs w:val="20"/>
                <w14:textFill>
                  <w14:solidFill>
                    <w14:schemeClr w14:val="bg1"/>
                  </w14:solidFill>
                </w14:textFill>
              </w:rPr>
            </w:pPr>
            <w:r>
              <w:rPr>
                <w:rFonts w:hint="eastAsia"/>
                <w:b/>
                <w:color w:val="FFFFFF" w:themeColor="background1"/>
                <w:sz w:val="20"/>
                <w:szCs w:val="20"/>
                <w14:textFill>
                  <w14:solidFill>
                    <w14:schemeClr w14:val="bg1"/>
                  </w14:solidFill>
                </w14:textFill>
              </w:rPr>
              <w:t>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restart"/>
            <w:vAlign w:val="center"/>
          </w:tcPr>
          <w:p>
            <w:pPr>
              <w:spacing w:line="240" w:lineRule="auto"/>
              <w:ind w:firstLine="0"/>
              <w:jc w:val="center"/>
              <w:rPr>
                <w:b/>
                <w:sz w:val="20"/>
                <w:szCs w:val="20"/>
              </w:rPr>
            </w:pPr>
            <w:r>
              <w:rPr>
                <w:rFonts w:hint="eastAsia"/>
                <w:b/>
                <w:sz w:val="20"/>
                <w:szCs w:val="20"/>
              </w:rPr>
              <w:t>真菌工作硬件</w:t>
            </w:r>
          </w:p>
        </w:tc>
        <w:tc>
          <w:tcPr>
            <w:tcW w:w="3780" w:type="dxa"/>
            <w:tcBorders>
              <w:top w:val="single" w:color="auto" w:sz="12" w:space="0"/>
              <w:bottom w:val="single" w:color="auto" w:sz="8" w:space="0"/>
            </w:tcBorders>
            <w:shd w:val="clear" w:color="auto" w:fill="auto"/>
            <w:vAlign w:val="center"/>
          </w:tcPr>
          <w:p>
            <w:pPr>
              <w:spacing w:line="240" w:lineRule="auto"/>
              <w:ind w:firstLine="0"/>
              <w:jc w:val="left"/>
              <w:rPr>
                <w:sz w:val="20"/>
                <w:szCs w:val="20"/>
              </w:rPr>
            </w:pPr>
            <w:r>
              <w:rPr>
                <w:rFonts w:cs="Arial"/>
                <w:color w:val="000000" w:themeColor="text1"/>
                <w:kern w:val="24"/>
                <w:sz w:val="20"/>
                <w:szCs w:val="20"/>
                <w14:textFill>
                  <w14:solidFill>
                    <w14:schemeClr w14:val="tx1"/>
                  </w14:solidFill>
                </w14:textFill>
              </w:rPr>
              <w:t>有无独立真菌工作区</w:t>
            </w:r>
            <w:r>
              <w:rPr>
                <w:rFonts w:hint="eastAsia" w:cs="宋体"/>
                <w:color w:val="000000" w:themeColor="text1"/>
                <w:kern w:val="24"/>
                <w:sz w:val="20"/>
                <w:szCs w:val="20"/>
                <w14:textFill>
                  <w14:solidFill>
                    <w14:schemeClr w14:val="tx1"/>
                  </w14:solidFill>
                </w14:textFill>
              </w:rPr>
              <w:t>域</w:t>
            </w:r>
          </w:p>
        </w:tc>
        <w:tc>
          <w:tcPr>
            <w:tcW w:w="6750" w:type="dxa"/>
            <w:tcBorders>
              <w:top w:val="single" w:color="auto" w:sz="12" w:space="0"/>
              <w:bottom w:val="single" w:color="auto" w:sz="8" w:space="0"/>
            </w:tcBorders>
            <w:vAlign w:val="center"/>
          </w:tcPr>
          <w:p>
            <w:pPr>
              <w:spacing w:line="240" w:lineRule="auto"/>
              <w:ind w:firstLine="0"/>
              <w:jc w:val="left"/>
              <w:rPr>
                <w:rFonts w:cs="Calibri"/>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有独立真菌工作区域5分；</w:t>
            </w:r>
            <w:r>
              <w:rPr>
                <w:rFonts w:cs="Arial"/>
                <w:color w:val="000000" w:themeColor="text1"/>
                <w:kern w:val="24"/>
                <w:sz w:val="20"/>
                <w:szCs w:val="20"/>
                <w14:textFill>
                  <w14:solidFill>
                    <w14:schemeClr w14:val="tx1"/>
                  </w14:solidFill>
                </w14:textFill>
              </w:rPr>
              <w:t xml:space="preserve">无独立真菌工作区域 </w:t>
            </w:r>
            <w:r>
              <w:rPr>
                <w:rFonts w:hint="eastAsia" w:cs="Arial"/>
                <w:color w:val="000000" w:themeColor="text1"/>
                <w:kern w:val="24"/>
                <w:sz w:val="20"/>
                <w:szCs w:val="20"/>
                <w14:textFill>
                  <w14:solidFill>
                    <w14:schemeClr w14:val="tx1"/>
                  </w14:solidFill>
                </w14:textFill>
              </w:rPr>
              <w:t xml:space="preserve"> </w:t>
            </w:r>
            <w:r>
              <w:rPr>
                <w:rFonts w:cs="Arial"/>
                <w:color w:val="000000" w:themeColor="text1"/>
                <w:kern w:val="24"/>
                <w:sz w:val="20"/>
                <w:szCs w:val="20"/>
                <w14:textFill>
                  <w14:solidFill>
                    <w14:schemeClr w14:val="tx1"/>
                  </w14:solidFill>
                </w14:textFill>
              </w:rPr>
              <w:t>0</w:t>
            </w:r>
            <w:r>
              <w:rPr>
                <w:rFonts w:hint="eastAsia" w:cs="Arial"/>
                <w:color w:val="000000" w:themeColor="text1"/>
                <w:kern w:val="24"/>
                <w:sz w:val="20"/>
                <w:szCs w:val="20"/>
                <w14:textFill>
                  <w14:solidFill>
                    <w14:schemeClr w14:val="tx1"/>
                  </w14:solidFill>
                </w14:textFill>
              </w:rPr>
              <w:t>分</w:t>
            </w:r>
          </w:p>
        </w:tc>
        <w:tc>
          <w:tcPr>
            <w:tcW w:w="900" w:type="dxa"/>
            <w:tcBorders>
              <w:top w:val="single" w:color="auto" w:sz="12" w:space="0"/>
              <w:bottom w:val="single" w:color="auto" w:sz="8"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5</w:t>
            </w:r>
          </w:p>
        </w:tc>
        <w:tc>
          <w:tcPr>
            <w:tcW w:w="900" w:type="dxa"/>
            <w:vMerge w:val="restart"/>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14:textFill>
                  <w14:solidFill>
                    <w14:schemeClr w14:val="tx1"/>
                  </w14:solidFill>
                </w14:textFill>
              </w:rPr>
              <w:t>独立真菌检测安全柜</w:t>
            </w:r>
          </w:p>
        </w:tc>
        <w:tc>
          <w:tcPr>
            <w:tcW w:w="6750" w:type="dxa"/>
            <w:tcBorders>
              <w:top w:val="single" w:color="auto" w:sz="8" w:space="0"/>
              <w:bottom w:val="single" w:color="auto" w:sz="8" w:space="0"/>
            </w:tcBorders>
            <w:vAlign w:val="center"/>
          </w:tcPr>
          <w:p>
            <w:pPr>
              <w:spacing w:line="240" w:lineRule="auto"/>
              <w:ind w:firstLine="0"/>
              <w:jc w:val="left"/>
              <w:rPr>
                <w:rFonts w:cs="Calibri"/>
                <w:bCs/>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有独立真菌检测安全柜2分；无独立真菌检测安全柜</w:t>
            </w:r>
            <w:r>
              <w:rPr>
                <w:rFonts w:cs="Arial"/>
                <w:color w:val="000000" w:themeColor="text1"/>
                <w:kern w:val="24"/>
                <w:sz w:val="20"/>
                <w:szCs w:val="20"/>
                <w14:textFill>
                  <w14:solidFill>
                    <w14:schemeClr w14:val="tx1"/>
                  </w14:solidFill>
                </w14:textFill>
              </w:rPr>
              <w:t xml:space="preserve"> 0</w:t>
            </w:r>
            <w:r>
              <w:rPr>
                <w:rFonts w:hint="eastAsia" w:cs="Arial"/>
                <w:color w:val="000000" w:themeColor="text1"/>
                <w:kern w:val="24"/>
                <w:sz w:val="20"/>
                <w:szCs w:val="20"/>
                <w14:textFill>
                  <w14:solidFill>
                    <w14:schemeClr w14:val="tx1"/>
                  </w14:solidFill>
                </w14:textFill>
              </w:rPr>
              <w:t>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2</w:t>
            </w:r>
          </w:p>
        </w:tc>
        <w:tc>
          <w:tcPr>
            <w:tcW w:w="900" w:type="dxa"/>
            <w:vMerge w:val="continue"/>
            <w:vAlign w:val="center"/>
          </w:tcPr>
          <w:p>
            <w:pPr>
              <w:spacing w:line="240" w:lineRule="auto"/>
              <w:ind w:firstLine="0"/>
              <w:jc w:val="center"/>
              <w:rPr>
                <w:rFonts w:cs="Arial"/>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5"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14:textFill>
                  <w14:solidFill>
                    <w14:schemeClr w14:val="tx1"/>
                  </w14:solidFill>
                </w14:textFill>
              </w:rPr>
              <w:t>独立真菌培养孵箱</w:t>
            </w:r>
          </w:p>
        </w:tc>
        <w:tc>
          <w:tcPr>
            <w:tcW w:w="6750" w:type="dxa"/>
            <w:tcBorders>
              <w:top w:val="single" w:color="auto" w:sz="8" w:space="0"/>
              <w:bottom w:val="single" w:color="auto" w:sz="8" w:space="0"/>
            </w:tcBorders>
            <w:vAlign w:val="center"/>
          </w:tcPr>
          <w:p>
            <w:pPr>
              <w:spacing w:line="240" w:lineRule="auto"/>
              <w:ind w:firstLine="0"/>
              <w:jc w:val="left"/>
              <w:rPr>
                <w:rFonts w:cs="Calibri"/>
                <w:bCs/>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配备</w:t>
            </w:r>
            <w:r>
              <w:rPr>
                <w:rFonts w:cs="Calibri"/>
                <w:color w:val="000000" w:themeColor="text1"/>
                <w:kern w:val="24"/>
                <w:sz w:val="20"/>
                <w:szCs w:val="20"/>
                <w:lang w:val="en-US"/>
                <w14:textFill>
                  <w14:solidFill>
                    <w14:schemeClr w14:val="tx1"/>
                  </w14:solidFill>
                </w14:textFill>
              </w:rPr>
              <w:t>28</w:t>
            </w:r>
            <w:r>
              <w:rPr>
                <w:rFonts w:hint="eastAsia" w:cs="Calibri"/>
                <w:color w:val="000000" w:themeColor="text1"/>
                <w:kern w:val="24"/>
                <w:sz w:val="20"/>
                <w:szCs w:val="20"/>
                <w:vertAlign w:val="superscript"/>
                <w:lang w:val="en-US"/>
                <w14:textFill>
                  <w14:solidFill>
                    <w14:schemeClr w14:val="tx1"/>
                  </w14:solidFill>
                </w14:textFill>
              </w:rPr>
              <w:t>o</w:t>
            </w:r>
            <w:r>
              <w:rPr>
                <w:rFonts w:hint="eastAsia" w:cs="Calibri"/>
                <w:color w:val="000000" w:themeColor="text1"/>
                <w:kern w:val="24"/>
                <w:sz w:val="20"/>
                <w:szCs w:val="20"/>
                <w:lang w:val="en-US"/>
                <w14:textFill>
                  <w14:solidFill>
                    <w14:schemeClr w14:val="tx1"/>
                  </w14:solidFill>
                </w14:textFill>
              </w:rPr>
              <w:t>C</w:t>
            </w:r>
            <w:r>
              <w:rPr>
                <w:rFonts w:hint="eastAsia" w:cs="宋体"/>
                <w:color w:val="000000" w:themeColor="text1"/>
                <w:kern w:val="24"/>
                <w:sz w:val="20"/>
                <w:szCs w:val="20"/>
                <w14:textFill>
                  <w14:solidFill>
                    <w14:schemeClr w14:val="tx1"/>
                  </w14:solidFill>
                </w14:textFill>
              </w:rPr>
              <w:t>和</w:t>
            </w:r>
            <w:r>
              <w:rPr>
                <w:rFonts w:cs="Calibri"/>
                <w:color w:val="000000" w:themeColor="text1"/>
                <w:kern w:val="24"/>
                <w:sz w:val="20"/>
                <w:szCs w:val="20"/>
                <w:lang w:val="en-US"/>
                <w14:textFill>
                  <w14:solidFill>
                    <w14:schemeClr w14:val="tx1"/>
                  </w14:solidFill>
                </w14:textFill>
              </w:rPr>
              <w:t>35</w:t>
            </w:r>
            <w:r>
              <w:rPr>
                <w:rFonts w:hint="eastAsia" w:cs="Calibri"/>
                <w:color w:val="000000" w:themeColor="text1"/>
                <w:kern w:val="24"/>
                <w:sz w:val="20"/>
                <w:szCs w:val="20"/>
                <w:vertAlign w:val="superscript"/>
                <w:lang w:val="en-US"/>
                <w14:textFill>
                  <w14:solidFill>
                    <w14:schemeClr w14:val="tx1"/>
                  </w14:solidFill>
                </w14:textFill>
              </w:rPr>
              <w:t>o</w:t>
            </w:r>
            <w:r>
              <w:rPr>
                <w:rFonts w:hint="eastAsia" w:cs="Calibri"/>
                <w:color w:val="000000" w:themeColor="text1"/>
                <w:kern w:val="24"/>
                <w:sz w:val="20"/>
                <w:szCs w:val="20"/>
                <w:lang w:val="en-US"/>
                <w14:textFill>
                  <w14:solidFill>
                    <w14:schemeClr w14:val="tx1"/>
                  </w14:solidFill>
                </w14:textFill>
              </w:rPr>
              <w:t>C独立真菌</w:t>
            </w:r>
            <w:r>
              <w:rPr>
                <w:rFonts w:hint="eastAsia" w:cs="宋体"/>
                <w:color w:val="000000" w:themeColor="text1"/>
                <w:kern w:val="24"/>
                <w:sz w:val="20"/>
                <w:szCs w:val="20"/>
                <w14:textFill>
                  <w14:solidFill>
                    <w14:schemeClr w14:val="tx1"/>
                  </w14:solidFill>
                </w14:textFill>
              </w:rPr>
              <w:t>孵箱2分；仅配备</w:t>
            </w:r>
            <w:r>
              <w:rPr>
                <w:rFonts w:cs="Calibri"/>
                <w:color w:val="000000" w:themeColor="text1"/>
                <w:kern w:val="24"/>
                <w:sz w:val="20"/>
                <w:szCs w:val="20"/>
                <w:lang w:val="en-US"/>
                <w14:textFill>
                  <w14:solidFill>
                    <w14:schemeClr w14:val="tx1"/>
                  </w14:solidFill>
                </w14:textFill>
              </w:rPr>
              <w:t>28</w:t>
            </w:r>
            <w:r>
              <w:rPr>
                <w:rFonts w:hint="eastAsia" w:cs="Calibri"/>
                <w:color w:val="000000" w:themeColor="text1"/>
                <w:kern w:val="24"/>
                <w:sz w:val="20"/>
                <w:szCs w:val="20"/>
                <w:vertAlign w:val="superscript"/>
                <w:lang w:val="en-US"/>
                <w14:textFill>
                  <w14:solidFill>
                    <w14:schemeClr w14:val="tx1"/>
                  </w14:solidFill>
                </w14:textFill>
              </w:rPr>
              <w:t>o</w:t>
            </w:r>
            <w:r>
              <w:rPr>
                <w:rFonts w:hint="eastAsia" w:cs="Calibri"/>
                <w:color w:val="000000" w:themeColor="text1"/>
                <w:kern w:val="24"/>
                <w:sz w:val="20"/>
                <w:szCs w:val="20"/>
                <w:lang w:val="en-US"/>
                <w14:textFill>
                  <w14:solidFill>
                    <w14:schemeClr w14:val="tx1"/>
                  </w14:solidFill>
                </w14:textFill>
              </w:rPr>
              <w:t>C</w:t>
            </w:r>
            <w:r>
              <w:rPr>
                <w:rFonts w:hint="eastAsia" w:cs="宋体"/>
                <w:color w:val="000000" w:themeColor="text1"/>
                <w:kern w:val="24"/>
                <w:sz w:val="20"/>
                <w:szCs w:val="20"/>
                <w14:textFill>
                  <w14:solidFill>
                    <w14:schemeClr w14:val="tx1"/>
                  </w14:solidFill>
                </w14:textFill>
              </w:rPr>
              <w:t>或</w:t>
            </w:r>
            <w:r>
              <w:rPr>
                <w:rFonts w:cs="Calibri"/>
                <w:color w:val="000000" w:themeColor="text1"/>
                <w:kern w:val="24"/>
                <w:sz w:val="20"/>
                <w:szCs w:val="20"/>
                <w:lang w:val="en-US"/>
                <w14:textFill>
                  <w14:solidFill>
                    <w14:schemeClr w14:val="tx1"/>
                  </w14:solidFill>
                </w14:textFill>
              </w:rPr>
              <w:t>35</w:t>
            </w:r>
            <w:r>
              <w:rPr>
                <w:rFonts w:hint="eastAsia" w:cs="Calibri"/>
                <w:color w:val="000000" w:themeColor="text1"/>
                <w:kern w:val="24"/>
                <w:sz w:val="20"/>
                <w:szCs w:val="20"/>
                <w:vertAlign w:val="superscript"/>
                <w:lang w:val="en-US"/>
                <w14:textFill>
                  <w14:solidFill>
                    <w14:schemeClr w14:val="tx1"/>
                  </w14:solidFill>
                </w14:textFill>
              </w:rPr>
              <w:t>o</w:t>
            </w:r>
            <w:r>
              <w:rPr>
                <w:rFonts w:hint="eastAsia" w:cs="Calibri"/>
                <w:color w:val="000000" w:themeColor="text1"/>
                <w:kern w:val="24"/>
                <w:sz w:val="20"/>
                <w:szCs w:val="20"/>
                <w:lang w:val="en-US"/>
                <w14:textFill>
                  <w14:solidFill>
                    <w14:schemeClr w14:val="tx1"/>
                  </w14:solidFill>
                </w14:textFill>
              </w:rPr>
              <w:t>C独立真菌</w:t>
            </w:r>
            <w:r>
              <w:rPr>
                <w:rFonts w:hint="eastAsia" w:cs="宋体"/>
                <w:color w:val="000000" w:themeColor="text1"/>
                <w:kern w:val="24"/>
                <w:sz w:val="20"/>
                <w:szCs w:val="20"/>
                <w14:textFill>
                  <w14:solidFill>
                    <w14:schemeClr w14:val="tx1"/>
                  </w14:solidFill>
                </w14:textFill>
              </w:rPr>
              <w:t>孵箱1分；无独立真菌培养孵箱0分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2</w:t>
            </w:r>
          </w:p>
        </w:tc>
        <w:tc>
          <w:tcPr>
            <w:tcW w:w="900" w:type="dxa"/>
            <w:vMerge w:val="continue"/>
            <w:vAlign w:val="center"/>
          </w:tcPr>
          <w:p>
            <w:pPr>
              <w:spacing w:line="240" w:lineRule="auto"/>
              <w:ind w:firstLine="0"/>
              <w:jc w:val="center"/>
              <w:rPr>
                <w:rFonts w:cs="Arial"/>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72" w:hRule="exact"/>
        </w:trPr>
        <w:tc>
          <w:tcPr>
            <w:tcW w:w="1710" w:type="dxa"/>
            <w:vMerge w:val="continue"/>
            <w:tcBorders>
              <w:bottom w:val="single" w:color="auto" w:sz="12" w:space="0"/>
            </w:tcBorders>
            <w:vAlign w:val="center"/>
          </w:tcPr>
          <w:p>
            <w:pPr>
              <w:spacing w:line="240" w:lineRule="auto"/>
              <w:ind w:firstLine="0"/>
              <w:jc w:val="center"/>
              <w:rPr>
                <w:b/>
                <w:sz w:val="20"/>
                <w:szCs w:val="20"/>
              </w:rPr>
            </w:pPr>
          </w:p>
        </w:tc>
        <w:tc>
          <w:tcPr>
            <w:tcW w:w="3780" w:type="dxa"/>
            <w:tcBorders>
              <w:top w:val="single" w:color="auto" w:sz="8" w:space="0"/>
              <w:bottom w:val="single" w:color="auto" w:sz="12"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14:textFill>
                  <w14:solidFill>
                    <w14:schemeClr w14:val="tx1"/>
                  </w14:solidFill>
                </w14:textFill>
              </w:rPr>
              <w:t>临床微生物实验室亚专业分布</w:t>
            </w:r>
          </w:p>
        </w:tc>
        <w:tc>
          <w:tcPr>
            <w:tcW w:w="6750" w:type="dxa"/>
            <w:tcBorders>
              <w:top w:val="single" w:color="auto" w:sz="8" w:space="0"/>
              <w:bottom w:val="single" w:color="auto" w:sz="12" w:space="0"/>
            </w:tcBorders>
            <w:vAlign w:val="center"/>
          </w:tcPr>
          <w:p>
            <w:pPr>
              <w:spacing w:line="240" w:lineRule="auto"/>
              <w:ind w:firstLine="0"/>
              <w:jc w:val="left"/>
              <w:rPr>
                <w:rFonts w:cs="Calibri"/>
                <w:bCs/>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有真菌组4分；无真菌组0分</w:t>
            </w:r>
          </w:p>
        </w:tc>
        <w:tc>
          <w:tcPr>
            <w:tcW w:w="900" w:type="dxa"/>
            <w:tcBorders>
              <w:top w:val="single" w:color="auto" w:sz="8" w:space="0"/>
              <w:bottom w:val="single" w:color="auto" w:sz="12"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4</w:t>
            </w:r>
          </w:p>
        </w:tc>
        <w:tc>
          <w:tcPr>
            <w:tcW w:w="900" w:type="dxa"/>
            <w:vMerge w:val="continue"/>
            <w:tcBorders>
              <w:bottom w:val="single" w:color="auto" w:sz="12" w:space="0"/>
            </w:tcBorders>
            <w:vAlign w:val="center"/>
          </w:tcPr>
          <w:p>
            <w:pPr>
              <w:spacing w:line="240" w:lineRule="auto"/>
              <w:ind w:firstLine="0"/>
              <w:jc w:val="center"/>
              <w:rPr>
                <w:rFonts w:cs="Arial"/>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33" w:hRule="exact"/>
        </w:trPr>
        <w:tc>
          <w:tcPr>
            <w:tcW w:w="1710" w:type="dxa"/>
            <w:tcBorders>
              <w:top w:val="single" w:color="auto" w:sz="12" w:space="0"/>
            </w:tcBorders>
            <w:vAlign w:val="center"/>
          </w:tcPr>
          <w:p>
            <w:pPr>
              <w:spacing w:line="240" w:lineRule="auto"/>
              <w:ind w:firstLine="0"/>
              <w:jc w:val="center"/>
              <w:rPr>
                <w:b/>
                <w:sz w:val="20"/>
                <w:szCs w:val="20"/>
              </w:rPr>
            </w:pPr>
            <w:r>
              <w:rPr>
                <w:rFonts w:hint="eastAsia"/>
                <w:b/>
                <w:sz w:val="20"/>
                <w:szCs w:val="20"/>
              </w:rPr>
              <w:t>真菌工作人员</w:t>
            </w:r>
          </w:p>
        </w:tc>
        <w:tc>
          <w:tcPr>
            <w:tcW w:w="3780" w:type="dxa"/>
            <w:tcBorders>
              <w:top w:val="single" w:color="auto" w:sz="12" w:space="0"/>
              <w:bottom w:val="single" w:color="auto" w:sz="12" w:space="0"/>
            </w:tcBorders>
            <w:shd w:val="clear" w:color="auto" w:fill="auto"/>
            <w:vAlign w:val="bottom"/>
          </w:tcPr>
          <w:p>
            <w:pPr>
              <w:pStyle w:val="16"/>
              <w:spacing w:before="0" w:beforeAutospacing="0" w:after="0" w:afterAutospacing="0"/>
              <w:jc w:val="left"/>
              <w:textAlignment w:val="center"/>
              <w:rPr>
                <w:rFonts w:ascii="Arial" w:hAnsi="Arial" w:eastAsia="宋体" w:cs="Arial"/>
                <w:sz w:val="20"/>
                <w:szCs w:val="20"/>
              </w:rPr>
            </w:pPr>
            <w:r>
              <w:rPr>
                <w:rFonts w:hint="eastAsia" w:ascii="Arial" w:hAnsi="Arial" w:eastAsia="宋体" w:cs="Calibri"/>
                <w:color w:val="000000"/>
                <w:sz w:val="20"/>
                <w:szCs w:val="20"/>
              </w:rPr>
              <w:t>微生物组能够独立从事真菌检测工作</w:t>
            </w:r>
            <w:r>
              <w:rPr>
                <w:rFonts w:hint="eastAsia" w:ascii="Arial" w:hAnsi="Arial" w:eastAsia="宋体" w:cs="Arial"/>
                <w:color w:val="000000" w:themeColor="text1"/>
                <w:kern w:val="24"/>
                <w:sz w:val="20"/>
                <w:szCs w:val="20"/>
                <w14:textFill>
                  <w14:solidFill>
                    <w14:schemeClr w14:val="tx1"/>
                  </w14:solidFill>
                </w14:textFill>
              </w:rPr>
              <w:t>的人数</w:t>
            </w:r>
            <w:r>
              <w:rPr>
                <w:rFonts w:hint="eastAsia" w:ascii="Arial" w:hAnsi="Arial" w:eastAsia="宋体" w:cs="Arial"/>
                <w:color w:val="000000" w:themeColor="text1"/>
                <w:kern w:val="24"/>
                <w:sz w:val="20"/>
                <w:szCs w:val="20"/>
                <w:lang w:val="en-US"/>
                <w14:textFill>
                  <w14:solidFill>
                    <w14:schemeClr w14:val="tx1"/>
                  </w14:solidFill>
                </w14:textFill>
              </w:rPr>
              <w:t>/微生物组</w:t>
            </w:r>
            <w:r>
              <w:rPr>
                <w:rFonts w:hint="eastAsia" w:ascii="Arial" w:hAnsi="Arial" w:eastAsia="宋体" w:cs="Arial"/>
                <w:color w:val="000000" w:themeColor="text1"/>
                <w:kern w:val="24"/>
                <w:sz w:val="20"/>
                <w:szCs w:val="20"/>
                <w14:textFill>
                  <w14:solidFill>
                    <w14:schemeClr w14:val="tx1"/>
                  </w14:solidFill>
                </w14:textFill>
              </w:rPr>
              <w:t>总人数</w:t>
            </w:r>
          </w:p>
          <w:p>
            <w:pPr>
              <w:spacing w:line="240" w:lineRule="auto"/>
              <w:ind w:firstLine="0"/>
              <w:jc w:val="left"/>
              <w:rPr>
                <w:sz w:val="20"/>
                <w:szCs w:val="20"/>
              </w:rPr>
            </w:pPr>
            <w:r>
              <w:rPr>
                <w:rFonts w:cs="Calibri"/>
                <w:color w:val="000000"/>
                <w:sz w:val="20"/>
                <w:szCs w:val="20"/>
              </w:rPr>
              <w:t xml:space="preserve">      </w:t>
            </w:r>
          </w:p>
        </w:tc>
        <w:tc>
          <w:tcPr>
            <w:tcW w:w="6750" w:type="dxa"/>
            <w:tcBorders>
              <w:top w:val="single" w:color="auto" w:sz="12" w:space="0"/>
              <w:bottom w:val="single" w:color="auto" w:sz="12" w:space="0"/>
            </w:tcBorders>
            <w:vAlign w:val="center"/>
          </w:tcPr>
          <w:p>
            <w:pPr>
              <w:spacing w:line="240" w:lineRule="auto"/>
              <w:ind w:firstLine="0"/>
              <w:jc w:val="left"/>
              <w:rPr>
                <w:rFonts w:cs="Calibri"/>
                <w:color w:val="000000" w:themeColor="text1"/>
                <w:kern w:val="24"/>
                <w:sz w:val="20"/>
                <w:szCs w:val="20"/>
                <w14:textFill>
                  <w14:solidFill>
                    <w14:schemeClr w14:val="tx1"/>
                  </w14:solidFill>
                </w14:textFill>
              </w:rPr>
            </w:pPr>
            <w:r>
              <w:rPr>
                <w:rFonts w:cs="Calibri"/>
                <w:color w:val="000000" w:themeColor="text1"/>
                <w:kern w:val="24"/>
                <w:sz w:val="20"/>
                <w:szCs w:val="20"/>
                <w:lang w:val="en-US"/>
                <w14:textFill>
                  <w14:solidFill>
                    <w14:schemeClr w14:val="tx1"/>
                  </w14:solidFill>
                </w14:textFill>
              </w:rPr>
              <w:t>&gt;80% 5</w:t>
            </w:r>
            <w:r>
              <w:rPr>
                <w:rFonts w:hint="eastAsia" w:cs="宋体"/>
                <w:color w:val="000000" w:themeColor="text1"/>
                <w:kern w:val="24"/>
                <w:sz w:val="20"/>
                <w:szCs w:val="20"/>
                <w14:textFill>
                  <w14:solidFill>
                    <w14:schemeClr w14:val="tx1"/>
                  </w14:solidFill>
                </w14:textFill>
              </w:rPr>
              <w:t>分；</w:t>
            </w:r>
            <w:r>
              <w:rPr>
                <w:rFonts w:cs="Calibri"/>
                <w:color w:val="000000" w:themeColor="text1"/>
                <w:kern w:val="24"/>
                <w:sz w:val="20"/>
                <w:szCs w:val="20"/>
                <w:lang w:val="en-US"/>
                <w14:textFill>
                  <w14:solidFill>
                    <w14:schemeClr w14:val="tx1"/>
                  </w14:solidFill>
                </w14:textFill>
              </w:rPr>
              <w:t>60-80% 4</w:t>
            </w:r>
            <w:r>
              <w:rPr>
                <w:rFonts w:hint="eastAsia" w:cs="宋体"/>
                <w:color w:val="000000" w:themeColor="text1"/>
                <w:kern w:val="24"/>
                <w:sz w:val="20"/>
                <w:szCs w:val="20"/>
                <w14:textFill>
                  <w14:solidFill>
                    <w14:schemeClr w14:val="tx1"/>
                  </w14:solidFill>
                </w14:textFill>
              </w:rPr>
              <w:t>分；</w:t>
            </w:r>
            <w:r>
              <w:rPr>
                <w:rFonts w:cs="Calibri"/>
                <w:color w:val="000000" w:themeColor="text1"/>
                <w:kern w:val="24"/>
                <w:sz w:val="20"/>
                <w:szCs w:val="20"/>
                <w:lang w:val="en-US"/>
                <w14:textFill>
                  <w14:solidFill>
                    <w14:schemeClr w14:val="tx1"/>
                  </w14:solidFill>
                </w14:textFill>
              </w:rPr>
              <w:t>40%-60% 3</w:t>
            </w:r>
            <w:r>
              <w:rPr>
                <w:rFonts w:hint="eastAsia" w:cs="宋体"/>
                <w:color w:val="000000" w:themeColor="text1"/>
                <w:kern w:val="24"/>
                <w:sz w:val="20"/>
                <w:szCs w:val="20"/>
                <w14:textFill>
                  <w14:solidFill>
                    <w14:schemeClr w14:val="tx1"/>
                  </w14:solidFill>
                </w14:textFill>
              </w:rPr>
              <w:t>分；</w:t>
            </w:r>
            <w:r>
              <w:rPr>
                <w:rFonts w:cs="Calibri"/>
                <w:color w:val="000000" w:themeColor="text1"/>
                <w:kern w:val="24"/>
                <w:sz w:val="20"/>
                <w:szCs w:val="20"/>
                <w:lang w:val="en-US"/>
                <w14:textFill>
                  <w14:solidFill>
                    <w14:schemeClr w14:val="tx1"/>
                  </w14:solidFill>
                </w14:textFill>
              </w:rPr>
              <w:t>20%-40% 2</w:t>
            </w:r>
            <w:r>
              <w:rPr>
                <w:rFonts w:hint="eastAsia" w:cs="宋体"/>
                <w:color w:val="000000" w:themeColor="text1"/>
                <w:kern w:val="24"/>
                <w:sz w:val="20"/>
                <w:szCs w:val="20"/>
                <w14:textFill>
                  <w14:solidFill>
                    <w14:schemeClr w14:val="tx1"/>
                  </w14:solidFill>
                </w14:textFill>
              </w:rPr>
              <w:t>分；</w:t>
            </w:r>
            <w:r>
              <w:rPr>
                <w:rFonts w:cs="Calibri"/>
                <w:color w:val="000000" w:themeColor="text1"/>
                <w:kern w:val="24"/>
                <w:sz w:val="20"/>
                <w:szCs w:val="20"/>
                <w:lang w:val="en-US"/>
                <w14:textFill>
                  <w14:solidFill>
                    <w14:schemeClr w14:val="tx1"/>
                  </w14:solidFill>
                </w14:textFill>
              </w:rPr>
              <w:t>&lt;20% 1</w:t>
            </w:r>
            <w:r>
              <w:rPr>
                <w:rFonts w:hint="eastAsia" w:cs="宋体"/>
                <w:color w:val="000000" w:themeColor="text1"/>
                <w:kern w:val="24"/>
                <w:sz w:val="20"/>
                <w:szCs w:val="20"/>
                <w14:textFill>
                  <w14:solidFill>
                    <w14:schemeClr w14:val="tx1"/>
                  </w14:solidFill>
                </w14:textFill>
              </w:rPr>
              <w:t>分</w:t>
            </w:r>
          </w:p>
        </w:tc>
        <w:tc>
          <w:tcPr>
            <w:tcW w:w="900" w:type="dxa"/>
            <w:tcBorders>
              <w:top w:val="single" w:color="auto" w:sz="12" w:space="0"/>
              <w:bottom w:val="single" w:color="auto" w:sz="12"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5</w:t>
            </w:r>
          </w:p>
        </w:tc>
        <w:tc>
          <w:tcPr>
            <w:tcW w:w="900" w:type="dxa"/>
            <w:tcBorders>
              <w:top w:val="single" w:color="auto" w:sz="12" w:space="0"/>
              <w:bottom w:val="single" w:color="auto" w:sz="8" w:space="0"/>
            </w:tcBorders>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restart"/>
            <w:tcBorders>
              <w:top w:val="single" w:color="auto" w:sz="12" w:space="0"/>
            </w:tcBorders>
            <w:vAlign w:val="center"/>
          </w:tcPr>
          <w:p>
            <w:pPr>
              <w:spacing w:line="240" w:lineRule="auto"/>
              <w:ind w:firstLine="0"/>
              <w:jc w:val="center"/>
              <w:rPr>
                <w:b/>
                <w:sz w:val="20"/>
                <w:szCs w:val="20"/>
              </w:rPr>
            </w:pPr>
            <w:r>
              <w:rPr>
                <w:rFonts w:hint="eastAsia"/>
                <w:b/>
                <w:sz w:val="20"/>
                <w:szCs w:val="20"/>
              </w:rPr>
              <w:t>真菌检测量</w:t>
            </w:r>
          </w:p>
        </w:tc>
        <w:tc>
          <w:tcPr>
            <w:tcW w:w="3780" w:type="dxa"/>
            <w:tcBorders>
              <w:top w:val="single" w:color="auto" w:sz="12" w:space="0"/>
              <w:bottom w:val="single" w:color="auto" w:sz="8" w:space="0"/>
            </w:tcBorders>
            <w:shd w:val="clear" w:color="auto" w:fill="auto"/>
            <w:vAlign w:val="center"/>
          </w:tcPr>
          <w:p>
            <w:pPr>
              <w:spacing w:line="240" w:lineRule="auto"/>
              <w:ind w:firstLine="0"/>
              <w:jc w:val="left"/>
              <w:rPr>
                <w:sz w:val="20"/>
                <w:szCs w:val="20"/>
              </w:rPr>
            </w:pPr>
            <w:r>
              <w:rPr>
                <w:rFonts w:cs="Arial"/>
                <w:color w:val="000000" w:themeColor="text1"/>
                <w:kern w:val="24"/>
                <w:sz w:val="20"/>
                <w:szCs w:val="20"/>
                <w14:textFill>
                  <w14:solidFill>
                    <w14:schemeClr w14:val="tx1"/>
                  </w14:solidFill>
                </w14:textFill>
              </w:rPr>
              <w:t>真菌涂片送检量</w:t>
            </w:r>
            <w:r>
              <w:rPr>
                <w:rFonts w:cs="Tahoma"/>
                <w:color w:val="000000" w:themeColor="text1"/>
                <w:kern w:val="24"/>
                <w:sz w:val="20"/>
                <w:szCs w:val="20"/>
                <w:lang w:val="en-US"/>
                <w14:textFill>
                  <w14:solidFill>
                    <w14:schemeClr w14:val="tx1"/>
                  </w14:solidFill>
                </w14:textFill>
              </w:rPr>
              <w:t>/</w:t>
            </w:r>
            <w:r>
              <w:rPr>
                <w:rFonts w:cs="Arial"/>
                <w:color w:val="000000" w:themeColor="text1"/>
                <w:kern w:val="24"/>
                <w:sz w:val="20"/>
                <w:szCs w:val="20"/>
                <w14:textFill>
                  <w14:solidFill>
                    <w14:schemeClr w14:val="tx1"/>
                  </w14:solidFill>
                </w14:textFill>
              </w:rPr>
              <w:t>医院床位</w:t>
            </w:r>
            <w:r>
              <w:rPr>
                <w:rFonts w:hint="eastAsia" w:cs="宋体"/>
                <w:color w:val="000000" w:themeColor="text1"/>
                <w:kern w:val="24"/>
                <w:sz w:val="20"/>
                <w:szCs w:val="20"/>
                <w14:textFill>
                  <w14:solidFill>
                    <w14:schemeClr w14:val="tx1"/>
                  </w14:solidFill>
                </w14:textFill>
              </w:rPr>
              <w:t>数</w:t>
            </w:r>
          </w:p>
        </w:tc>
        <w:tc>
          <w:tcPr>
            <w:tcW w:w="6750" w:type="dxa"/>
            <w:tcBorders>
              <w:top w:val="single" w:color="auto" w:sz="12" w:space="0"/>
              <w:bottom w:val="single" w:color="auto" w:sz="8" w:space="0"/>
            </w:tcBorders>
            <w:vAlign w:val="center"/>
          </w:tcPr>
          <w:p>
            <w:pPr>
              <w:spacing w:line="240" w:lineRule="auto"/>
              <w:ind w:firstLine="0"/>
              <w:jc w:val="left"/>
              <w:rPr>
                <w:rFonts w:cs="Calibri"/>
                <w:bCs/>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所有医院排序后五等分</w:t>
            </w:r>
          </w:p>
        </w:tc>
        <w:tc>
          <w:tcPr>
            <w:tcW w:w="900" w:type="dxa"/>
            <w:tcBorders>
              <w:top w:val="single" w:color="auto" w:sz="12" w:space="0"/>
              <w:bottom w:val="single" w:color="auto" w:sz="8"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5</w:t>
            </w:r>
          </w:p>
        </w:tc>
        <w:tc>
          <w:tcPr>
            <w:tcW w:w="900" w:type="dxa"/>
            <w:vMerge w:val="restart"/>
            <w:tcBorders>
              <w:top w:val="single" w:color="auto" w:sz="12" w:space="0"/>
            </w:tcBorders>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14:textFill>
                  <w14:solidFill>
                    <w14:schemeClr w14:val="tx1"/>
                  </w14:solidFill>
                </w14:textFill>
              </w:rPr>
              <w:t>真菌培养送检量</w:t>
            </w:r>
            <w:r>
              <w:rPr>
                <w:rFonts w:cs="Tahoma"/>
                <w:color w:val="000000" w:themeColor="text1"/>
                <w:kern w:val="24"/>
                <w:sz w:val="20"/>
                <w:szCs w:val="20"/>
                <w:lang w:val="en-US"/>
                <w14:textFill>
                  <w14:solidFill>
                    <w14:schemeClr w14:val="tx1"/>
                  </w14:solidFill>
                </w14:textFill>
              </w:rPr>
              <w:t>/</w:t>
            </w:r>
            <w:r>
              <w:rPr>
                <w:rFonts w:hint="eastAsia" w:cs="宋体"/>
                <w:color w:val="000000" w:themeColor="text1"/>
                <w:kern w:val="24"/>
                <w:sz w:val="20"/>
                <w:szCs w:val="20"/>
                <w14:textFill>
                  <w14:solidFill>
                    <w14:schemeClr w14:val="tx1"/>
                  </w14:solidFill>
                </w14:textFill>
              </w:rPr>
              <w:t>医院床位数</w:t>
            </w:r>
          </w:p>
        </w:tc>
        <w:tc>
          <w:tcPr>
            <w:tcW w:w="6750" w:type="dxa"/>
            <w:tcBorders>
              <w:top w:val="single" w:color="auto" w:sz="8" w:space="0"/>
              <w:bottom w:val="single" w:color="auto" w:sz="8" w:space="0"/>
            </w:tcBorders>
            <w:vAlign w:val="center"/>
          </w:tcPr>
          <w:p>
            <w:pPr>
              <w:spacing w:line="240" w:lineRule="auto"/>
              <w:ind w:firstLine="0"/>
              <w:jc w:val="left"/>
              <w:rPr>
                <w:rFonts w:cs="Calibri"/>
                <w:bCs/>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所有医院排序后五等分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5</w:t>
            </w:r>
          </w:p>
        </w:tc>
        <w:tc>
          <w:tcPr>
            <w:tcW w:w="900" w:type="dxa"/>
            <w:vMerge w:val="continue"/>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sz w:val="20"/>
                <w:szCs w:val="20"/>
              </w:rPr>
            </w:pPr>
            <w:r>
              <w:rPr>
                <w:rFonts w:hint="eastAsia" w:cs="宋体"/>
                <w:color w:val="000000" w:themeColor="text1"/>
                <w:kern w:val="24"/>
                <w:sz w:val="20"/>
                <w:szCs w:val="20"/>
                <w14:textFill>
                  <w14:solidFill>
                    <w14:schemeClr w14:val="tx1"/>
                  </w14:solidFill>
                </w14:textFill>
              </w:rPr>
              <w:t>真菌药敏送检量</w:t>
            </w:r>
            <w:r>
              <w:rPr>
                <w:rFonts w:cs="Tahoma"/>
                <w:color w:val="000000" w:themeColor="text1"/>
                <w:kern w:val="24"/>
                <w:sz w:val="20"/>
                <w:szCs w:val="20"/>
                <w:lang w:val="en-US"/>
                <w14:textFill>
                  <w14:solidFill>
                    <w14:schemeClr w14:val="tx1"/>
                  </w14:solidFill>
                </w14:textFill>
              </w:rPr>
              <w:t>/</w:t>
            </w:r>
            <w:r>
              <w:rPr>
                <w:rFonts w:hint="eastAsia" w:cs="宋体"/>
                <w:color w:val="000000" w:themeColor="text1"/>
                <w:kern w:val="24"/>
                <w:sz w:val="20"/>
                <w:szCs w:val="20"/>
                <w14:textFill>
                  <w14:solidFill>
                    <w14:schemeClr w14:val="tx1"/>
                  </w14:solidFill>
                </w14:textFill>
              </w:rPr>
              <w:t>医院床位数</w:t>
            </w:r>
          </w:p>
        </w:tc>
        <w:tc>
          <w:tcPr>
            <w:tcW w:w="6750" w:type="dxa"/>
            <w:tcBorders>
              <w:top w:val="single" w:color="auto" w:sz="8" w:space="0"/>
              <w:bottom w:val="single" w:color="auto" w:sz="8" w:space="0"/>
            </w:tcBorders>
            <w:vAlign w:val="center"/>
          </w:tcPr>
          <w:p>
            <w:pPr>
              <w:spacing w:line="240" w:lineRule="auto"/>
              <w:ind w:firstLine="0"/>
              <w:jc w:val="left"/>
              <w:rPr>
                <w:rFonts w:cs="Calibri"/>
                <w:bCs/>
                <w:color w:val="000000" w:themeColor="text1"/>
                <w:kern w:val="24"/>
                <w:sz w:val="20"/>
                <w:szCs w:val="20"/>
                <w14:textFill>
                  <w14:solidFill>
                    <w14:schemeClr w14:val="tx1"/>
                  </w14:solidFill>
                </w14:textFill>
              </w:rPr>
            </w:pPr>
            <w:r>
              <w:rPr>
                <w:rFonts w:hint="eastAsia" w:cs="宋体"/>
                <w:color w:val="000000" w:themeColor="text1"/>
                <w:kern w:val="24"/>
                <w:sz w:val="20"/>
                <w:szCs w:val="20"/>
                <w14:textFill>
                  <w14:solidFill>
                    <w14:schemeClr w14:val="tx1"/>
                  </w14:solidFill>
                </w14:textFill>
              </w:rPr>
              <w:t>所有医院排序后五等分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sz w:val="20"/>
                <w:szCs w:val="20"/>
              </w:rPr>
            </w:pPr>
            <w:r>
              <w:rPr>
                <w:rFonts w:cs="Calibri"/>
                <w:color w:val="000000" w:themeColor="text1"/>
                <w:kern w:val="24"/>
                <w:sz w:val="20"/>
                <w:szCs w:val="20"/>
                <w14:textFill>
                  <w14:solidFill>
                    <w14:schemeClr w14:val="tx1"/>
                  </w14:solidFill>
                </w14:textFill>
              </w:rPr>
              <w:t>5</w:t>
            </w:r>
          </w:p>
        </w:tc>
        <w:tc>
          <w:tcPr>
            <w:tcW w:w="900" w:type="dxa"/>
            <w:vMerge w:val="continue"/>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真菌血清送检量</w:t>
            </w:r>
            <w:r>
              <w:rPr>
                <w:rFonts w:cs="Tahoma"/>
                <w:color w:val="000000" w:themeColor="text1"/>
                <w:kern w:val="24"/>
                <w:sz w:val="20"/>
                <w:szCs w:val="20"/>
                <w:lang w:val="en-US"/>
                <w14:textFill>
                  <w14:solidFill>
                    <w14:schemeClr w14:val="tx1"/>
                  </w14:solidFill>
                </w14:textFill>
              </w:rPr>
              <w:t>/</w:t>
            </w:r>
            <w:r>
              <w:rPr>
                <w:rFonts w:hint="eastAsia" w:cs="宋体"/>
                <w:color w:val="000000" w:themeColor="text1"/>
                <w:kern w:val="24"/>
                <w:sz w:val="20"/>
                <w:szCs w:val="20"/>
                <w14:textFill>
                  <w14:solidFill>
                    <w14:schemeClr w14:val="tx1"/>
                  </w14:solidFill>
                </w14:textFill>
              </w:rPr>
              <w:t>医院床位数</w:t>
            </w:r>
          </w:p>
        </w:tc>
        <w:tc>
          <w:tcPr>
            <w:tcW w:w="6750" w:type="dxa"/>
            <w:tcBorders>
              <w:top w:val="single" w:color="auto" w:sz="8" w:space="0"/>
              <w:bottom w:val="single" w:color="auto" w:sz="8" w:space="0"/>
            </w:tcBorders>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所有医院排序后五等分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5</w:t>
            </w:r>
          </w:p>
        </w:tc>
        <w:tc>
          <w:tcPr>
            <w:tcW w:w="900" w:type="dxa"/>
            <w:vMerge w:val="continue"/>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3"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菌株保留期限（酵母菌）</w:t>
            </w:r>
          </w:p>
        </w:tc>
        <w:tc>
          <w:tcPr>
            <w:tcW w:w="6750" w:type="dxa"/>
            <w:tcBorders>
              <w:top w:val="single" w:color="auto" w:sz="8" w:space="0"/>
              <w:bottom w:val="single" w:color="auto" w:sz="8" w:space="0"/>
            </w:tcBorders>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长期保留</w:t>
            </w:r>
            <w:r>
              <w:rPr>
                <w:rFonts w:cs="Calibri"/>
                <w:color w:val="000000" w:themeColor="text1"/>
                <w:kern w:val="24"/>
                <w:sz w:val="20"/>
                <w:szCs w:val="20"/>
                <w:lang w:val="en-US"/>
                <w14:textFill>
                  <w14:solidFill>
                    <w14:schemeClr w14:val="tx1"/>
                  </w14:solidFill>
                </w14:textFill>
              </w:rPr>
              <w:t>3</w:t>
            </w:r>
            <w:r>
              <w:rPr>
                <w:rFonts w:hint="eastAsia" w:cs="宋体"/>
                <w:color w:val="000000" w:themeColor="text1"/>
                <w:kern w:val="24"/>
                <w:sz w:val="20"/>
                <w:szCs w:val="20"/>
                <w14:textFill>
                  <w14:solidFill>
                    <w14:schemeClr w14:val="tx1"/>
                  </w14:solidFill>
                </w14:textFill>
              </w:rPr>
              <w:t>分；短期保留</w:t>
            </w:r>
            <w:r>
              <w:rPr>
                <w:rFonts w:cs="Calibri"/>
                <w:color w:val="000000" w:themeColor="text1"/>
                <w:kern w:val="24"/>
                <w:sz w:val="20"/>
                <w:szCs w:val="20"/>
                <w:lang w:val="en-US"/>
                <w14:textFill>
                  <w14:solidFill>
                    <w14:schemeClr w14:val="tx1"/>
                  </w14:solidFill>
                </w14:textFill>
              </w:rPr>
              <w:t>2</w:t>
            </w:r>
            <w:r>
              <w:rPr>
                <w:rFonts w:hint="eastAsia" w:cs="宋体"/>
                <w:color w:val="000000" w:themeColor="text1"/>
                <w:kern w:val="24"/>
                <w:sz w:val="20"/>
                <w:szCs w:val="20"/>
                <w14:textFill>
                  <w14:solidFill>
                    <w14:schemeClr w14:val="tx1"/>
                  </w14:solidFill>
                </w14:textFill>
              </w:rPr>
              <w:t>分；</w:t>
            </w:r>
            <w:r>
              <w:rPr>
                <w:rFonts w:cs="Calibri"/>
                <w:color w:val="000000" w:themeColor="text1"/>
                <w:kern w:val="24"/>
                <w:sz w:val="20"/>
                <w:szCs w:val="20"/>
                <w:lang w:val="en-US"/>
                <w14:textFill>
                  <w14:solidFill>
                    <w14:schemeClr w14:val="tx1"/>
                  </w14:solidFill>
                </w14:textFill>
              </w:rPr>
              <w:t>&lt;1</w:t>
            </w:r>
            <w:r>
              <w:rPr>
                <w:rFonts w:hint="eastAsia" w:cs="宋体"/>
                <w:color w:val="000000" w:themeColor="text1"/>
                <w:kern w:val="24"/>
                <w:sz w:val="20"/>
                <w:szCs w:val="20"/>
                <w14:textFill>
                  <w14:solidFill>
                    <w14:schemeClr w14:val="tx1"/>
                  </w14:solidFill>
                </w14:textFill>
              </w:rPr>
              <w:t>个月短暂留存</w:t>
            </w:r>
            <w:r>
              <w:rPr>
                <w:rFonts w:cs="Calibri"/>
                <w:color w:val="000000" w:themeColor="text1"/>
                <w:kern w:val="24"/>
                <w:sz w:val="20"/>
                <w:szCs w:val="20"/>
                <w:lang w:val="en-US"/>
                <w14:textFill>
                  <w14:solidFill>
                    <w14:schemeClr w14:val="tx1"/>
                  </w14:solidFill>
                </w14:textFill>
              </w:rPr>
              <w:t>1</w:t>
            </w:r>
            <w:r>
              <w:rPr>
                <w:rFonts w:hint="eastAsia" w:cs="宋体"/>
                <w:color w:val="000000" w:themeColor="text1"/>
                <w:kern w:val="24"/>
                <w:sz w:val="20"/>
                <w:szCs w:val="20"/>
                <w14:textFill>
                  <w14:solidFill>
                    <w14:schemeClr w14:val="tx1"/>
                  </w14:solidFill>
                </w14:textFill>
              </w:rPr>
              <w:t>分；不保留</w:t>
            </w:r>
            <w:r>
              <w:rPr>
                <w:rFonts w:cs="Calibri"/>
                <w:color w:val="000000" w:themeColor="text1"/>
                <w:kern w:val="24"/>
                <w:sz w:val="20"/>
                <w:szCs w:val="20"/>
                <w:lang w:val="en-US"/>
                <w14:textFill>
                  <w14:solidFill>
                    <w14:schemeClr w14:val="tx1"/>
                  </w14:solidFill>
                </w14:textFill>
              </w:rPr>
              <w:t>0</w:t>
            </w:r>
            <w:r>
              <w:rPr>
                <w:rFonts w:hint="eastAsia" w:cs="宋体"/>
                <w:color w:val="000000" w:themeColor="text1"/>
                <w:kern w:val="24"/>
                <w:sz w:val="20"/>
                <w:szCs w:val="20"/>
                <w14:textFill>
                  <w14:solidFill>
                    <w14:schemeClr w14:val="tx1"/>
                  </w14:solidFill>
                </w14:textFill>
              </w:rPr>
              <w:t>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2</w:t>
            </w:r>
          </w:p>
        </w:tc>
        <w:tc>
          <w:tcPr>
            <w:tcW w:w="900" w:type="dxa"/>
            <w:vMerge w:val="continue"/>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3" w:hRule="exact"/>
        </w:trPr>
        <w:tc>
          <w:tcPr>
            <w:tcW w:w="1710" w:type="dxa"/>
            <w:vMerge w:val="continue"/>
            <w:tcBorders>
              <w:bottom w:val="single" w:color="auto" w:sz="12" w:space="0"/>
            </w:tcBorders>
            <w:vAlign w:val="center"/>
          </w:tcPr>
          <w:p>
            <w:pPr>
              <w:spacing w:line="240" w:lineRule="auto"/>
              <w:ind w:firstLine="0"/>
              <w:jc w:val="center"/>
              <w:rPr>
                <w:b/>
                <w:sz w:val="20"/>
                <w:szCs w:val="20"/>
              </w:rPr>
            </w:pPr>
          </w:p>
        </w:tc>
        <w:tc>
          <w:tcPr>
            <w:tcW w:w="3780" w:type="dxa"/>
            <w:tcBorders>
              <w:top w:val="single" w:color="auto" w:sz="8" w:space="0"/>
              <w:bottom w:val="single" w:color="auto" w:sz="12"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菌株保留期限（丝状真菌）</w:t>
            </w:r>
          </w:p>
        </w:tc>
        <w:tc>
          <w:tcPr>
            <w:tcW w:w="6750" w:type="dxa"/>
            <w:tcBorders>
              <w:top w:val="single" w:color="auto" w:sz="8" w:space="0"/>
              <w:bottom w:val="single" w:color="auto" w:sz="12" w:space="0"/>
            </w:tcBorders>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长期保留</w:t>
            </w:r>
            <w:r>
              <w:rPr>
                <w:rFonts w:cs="Calibri"/>
                <w:color w:val="000000" w:themeColor="text1"/>
                <w:kern w:val="24"/>
                <w:sz w:val="20"/>
                <w:szCs w:val="20"/>
                <w:lang w:val="en-US"/>
                <w14:textFill>
                  <w14:solidFill>
                    <w14:schemeClr w14:val="tx1"/>
                  </w14:solidFill>
                </w14:textFill>
              </w:rPr>
              <w:t>3</w:t>
            </w:r>
            <w:r>
              <w:rPr>
                <w:rFonts w:hint="eastAsia" w:cs="宋体"/>
                <w:color w:val="000000" w:themeColor="text1"/>
                <w:kern w:val="24"/>
                <w:sz w:val="20"/>
                <w:szCs w:val="20"/>
                <w14:textFill>
                  <w14:solidFill>
                    <w14:schemeClr w14:val="tx1"/>
                  </w14:solidFill>
                </w14:textFill>
              </w:rPr>
              <w:t>分；短期保留</w:t>
            </w:r>
            <w:r>
              <w:rPr>
                <w:rFonts w:cs="Calibri"/>
                <w:color w:val="000000" w:themeColor="text1"/>
                <w:kern w:val="24"/>
                <w:sz w:val="20"/>
                <w:szCs w:val="20"/>
                <w:lang w:val="en-US"/>
                <w14:textFill>
                  <w14:solidFill>
                    <w14:schemeClr w14:val="tx1"/>
                  </w14:solidFill>
                </w14:textFill>
              </w:rPr>
              <w:t>2</w:t>
            </w:r>
            <w:r>
              <w:rPr>
                <w:rFonts w:hint="eastAsia" w:cs="宋体"/>
                <w:color w:val="000000" w:themeColor="text1"/>
                <w:kern w:val="24"/>
                <w:sz w:val="20"/>
                <w:szCs w:val="20"/>
                <w14:textFill>
                  <w14:solidFill>
                    <w14:schemeClr w14:val="tx1"/>
                  </w14:solidFill>
                </w14:textFill>
              </w:rPr>
              <w:t>分；</w:t>
            </w:r>
            <w:r>
              <w:rPr>
                <w:rFonts w:cs="Calibri"/>
                <w:color w:val="000000" w:themeColor="text1"/>
                <w:kern w:val="24"/>
                <w:sz w:val="20"/>
                <w:szCs w:val="20"/>
                <w:lang w:val="en-US"/>
                <w14:textFill>
                  <w14:solidFill>
                    <w14:schemeClr w14:val="tx1"/>
                  </w14:solidFill>
                </w14:textFill>
              </w:rPr>
              <w:t>&lt;1</w:t>
            </w:r>
            <w:r>
              <w:rPr>
                <w:rFonts w:hint="eastAsia" w:cs="宋体"/>
                <w:color w:val="000000" w:themeColor="text1"/>
                <w:kern w:val="24"/>
                <w:sz w:val="20"/>
                <w:szCs w:val="20"/>
                <w14:textFill>
                  <w14:solidFill>
                    <w14:schemeClr w14:val="tx1"/>
                  </w14:solidFill>
                </w14:textFill>
              </w:rPr>
              <w:t>个月短暂留存</w:t>
            </w:r>
            <w:r>
              <w:rPr>
                <w:rFonts w:cs="Calibri"/>
                <w:color w:val="000000" w:themeColor="text1"/>
                <w:kern w:val="24"/>
                <w:sz w:val="20"/>
                <w:szCs w:val="20"/>
                <w:lang w:val="en-US"/>
                <w14:textFill>
                  <w14:solidFill>
                    <w14:schemeClr w14:val="tx1"/>
                  </w14:solidFill>
                </w14:textFill>
              </w:rPr>
              <w:t>1</w:t>
            </w:r>
            <w:r>
              <w:rPr>
                <w:rFonts w:hint="eastAsia" w:cs="宋体"/>
                <w:color w:val="000000" w:themeColor="text1"/>
                <w:kern w:val="24"/>
                <w:sz w:val="20"/>
                <w:szCs w:val="20"/>
                <w14:textFill>
                  <w14:solidFill>
                    <w14:schemeClr w14:val="tx1"/>
                  </w14:solidFill>
                </w14:textFill>
              </w:rPr>
              <w:t>分；不保留</w:t>
            </w:r>
            <w:r>
              <w:rPr>
                <w:rFonts w:cs="Calibri"/>
                <w:color w:val="000000" w:themeColor="text1"/>
                <w:kern w:val="24"/>
                <w:sz w:val="20"/>
                <w:szCs w:val="20"/>
                <w:lang w:val="en-US"/>
                <w14:textFill>
                  <w14:solidFill>
                    <w14:schemeClr w14:val="tx1"/>
                  </w14:solidFill>
                </w14:textFill>
              </w:rPr>
              <w:t>0</w:t>
            </w:r>
            <w:r>
              <w:rPr>
                <w:rFonts w:hint="eastAsia" w:cs="宋体"/>
                <w:color w:val="000000" w:themeColor="text1"/>
                <w:kern w:val="24"/>
                <w:sz w:val="20"/>
                <w:szCs w:val="20"/>
                <w14:textFill>
                  <w14:solidFill>
                    <w14:schemeClr w14:val="tx1"/>
                  </w14:solidFill>
                </w14:textFill>
              </w:rPr>
              <w:t>分</w:t>
            </w:r>
          </w:p>
        </w:tc>
        <w:tc>
          <w:tcPr>
            <w:tcW w:w="900" w:type="dxa"/>
            <w:tcBorders>
              <w:top w:val="single" w:color="auto" w:sz="8" w:space="0"/>
              <w:bottom w:val="single" w:color="auto" w:sz="12"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2</w:t>
            </w:r>
          </w:p>
        </w:tc>
        <w:tc>
          <w:tcPr>
            <w:tcW w:w="900" w:type="dxa"/>
            <w:vMerge w:val="continue"/>
            <w:tcBorders>
              <w:bottom w:val="single" w:color="auto" w:sz="12" w:space="0"/>
            </w:tcBorders>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restart"/>
            <w:tcBorders>
              <w:top w:val="single" w:color="auto" w:sz="12" w:space="0"/>
            </w:tcBorders>
            <w:vAlign w:val="center"/>
          </w:tcPr>
          <w:p>
            <w:pPr>
              <w:spacing w:line="240" w:lineRule="auto"/>
              <w:ind w:firstLine="0"/>
              <w:jc w:val="center"/>
              <w:rPr>
                <w:b/>
                <w:sz w:val="20"/>
                <w:szCs w:val="20"/>
              </w:rPr>
            </w:pPr>
            <w:r>
              <w:rPr>
                <w:rFonts w:hint="eastAsia"/>
                <w:b/>
                <w:sz w:val="20"/>
                <w:szCs w:val="20"/>
              </w:rPr>
              <w:t>真菌检测项目</w:t>
            </w:r>
          </w:p>
          <w:p>
            <w:pPr>
              <w:spacing w:line="240" w:lineRule="auto"/>
              <w:ind w:firstLine="0"/>
              <w:jc w:val="center"/>
              <w:rPr>
                <w:b/>
                <w:sz w:val="20"/>
                <w:szCs w:val="20"/>
              </w:rPr>
            </w:pPr>
            <w:r>
              <w:rPr>
                <w:rFonts w:hint="eastAsia"/>
                <w:b/>
                <w:sz w:val="20"/>
                <w:szCs w:val="20"/>
              </w:rPr>
              <w:t>（仅限院内）</w:t>
            </w:r>
          </w:p>
        </w:tc>
        <w:tc>
          <w:tcPr>
            <w:tcW w:w="3780" w:type="dxa"/>
            <w:tcBorders>
              <w:top w:val="single" w:color="auto" w:sz="12"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cs="Arial"/>
                <w:color w:val="000000" w:themeColor="text1"/>
                <w:kern w:val="24"/>
                <w:sz w:val="20"/>
                <w:szCs w:val="20"/>
                <w14:textFill>
                  <w14:solidFill>
                    <w14:schemeClr w14:val="tx1"/>
                  </w14:solidFill>
                </w14:textFill>
              </w:rPr>
              <w:t>酵母菌鉴定方</w:t>
            </w:r>
            <w:r>
              <w:rPr>
                <w:rFonts w:hint="eastAsia" w:cs="宋体"/>
                <w:color w:val="000000" w:themeColor="text1"/>
                <w:kern w:val="24"/>
                <w:sz w:val="20"/>
                <w:szCs w:val="20"/>
                <w14:textFill>
                  <w14:solidFill>
                    <w14:schemeClr w14:val="tx1"/>
                  </w14:solidFill>
                </w14:textFill>
              </w:rPr>
              <w:t>法</w:t>
            </w:r>
          </w:p>
        </w:tc>
        <w:tc>
          <w:tcPr>
            <w:tcW w:w="6750" w:type="dxa"/>
            <w:tcBorders>
              <w:top w:val="single" w:color="auto" w:sz="12" w:space="0"/>
              <w:bottom w:val="single" w:color="auto" w:sz="8"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6</w:t>
            </w:r>
            <w:r>
              <w:rPr>
                <w:rFonts w:hint="eastAsia" w:cs="宋体"/>
                <w:color w:val="000000" w:themeColor="text1"/>
                <w:kern w:val="24"/>
                <w:sz w:val="20"/>
                <w:szCs w:val="20"/>
                <w14:textFill>
                  <w14:solidFill>
                    <w14:schemeClr w14:val="tx1"/>
                  </w14:solidFill>
                </w14:textFill>
              </w:rPr>
              <w:t>项为满分，不足的按比例扣分</w:t>
            </w:r>
          </w:p>
        </w:tc>
        <w:tc>
          <w:tcPr>
            <w:tcW w:w="900" w:type="dxa"/>
            <w:tcBorders>
              <w:top w:val="single" w:color="auto" w:sz="12"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6</w:t>
            </w:r>
          </w:p>
        </w:tc>
        <w:tc>
          <w:tcPr>
            <w:tcW w:w="900" w:type="dxa"/>
            <w:vMerge w:val="restart"/>
            <w:tcBorders>
              <w:top w:val="single" w:color="auto" w:sz="12" w:space="0"/>
              <w:bottom w:val="single" w:color="auto" w:sz="12" w:space="0"/>
            </w:tcBorders>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丝状真菌鉴定方法</w:t>
            </w:r>
          </w:p>
        </w:tc>
        <w:tc>
          <w:tcPr>
            <w:tcW w:w="6750" w:type="dxa"/>
            <w:tcBorders>
              <w:top w:val="single" w:color="auto" w:sz="8" w:space="0"/>
              <w:bottom w:val="single" w:color="auto" w:sz="8"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3</w:t>
            </w:r>
            <w:r>
              <w:rPr>
                <w:rFonts w:hint="eastAsia" w:cs="宋体"/>
                <w:color w:val="000000" w:themeColor="text1"/>
                <w:kern w:val="24"/>
                <w:sz w:val="20"/>
                <w:szCs w:val="20"/>
                <w14:textFill>
                  <w14:solidFill>
                    <w14:schemeClr w14:val="tx1"/>
                  </w14:solidFill>
                </w14:textFill>
              </w:rPr>
              <w:t>项为满分，不足的按比例扣分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3</w:t>
            </w:r>
          </w:p>
        </w:tc>
        <w:tc>
          <w:tcPr>
            <w:tcW w:w="900" w:type="dxa"/>
            <w:vMerge w:val="continue"/>
            <w:tcBorders>
              <w:bottom w:val="single" w:color="auto" w:sz="12" w:space="0"/>
            </w:tcBorders>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酵母菌药敏试验方法</w:t>
            </w:r>
          </w:p>
        </w:tc>
        <w:tc>
          <w:tcPr>
            <w:tcW w:w="6750" w:type="dxa"/>
            <w:tcBorders>
              <w:top w:val="single" w:color="auto" w:sz="8" w:space="0"/>
              <w:bottom w:val="single" w:color="auto" w:sz="8"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4</w:t>
            </w:r>
            <w:r>
              <w:rPr>
                <w:rFonts w:hint="eastAsia" w:cs="宋体"/>
                <w:color w:val="000000" w:themeColor="text1"/>
                <w:kern w:val="24"/>
                <w:sz w:val="20"/>
                <w:szCs w:val="20"/>
                <w14:textFill>
                  <w14:solidFill>
                    <w14:schemeClr w14:val="tx1"/>
                  </w14:solidFill>
                </w14:textFill>
              </w:rPr>
              <w:t>项为满分，不足的按比例扣分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4</w:t>
            </w:r>
          </w:p>
        </w:tc>
        <w:tc>
          <w:tcPr>
            <w:tcW w:w="900" w:type="dxa"/>
            <w:vMerge w:val="continue"/>
            <w:tcBorders>
              <w:bottom w:val="single" w:color="auto" w:sz="12" w:space="0"/>
            </w:tcBorders>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丝状真菌药敏试验方法</w:t>
            </w:r>
          </w:p>
        </w:tc>
        <w:tc>
          <w:tcPr>
            <w:tcW w:w="6750" w:type="dxa"/>
            <w:tcBorders>
              <w:top w:val="single" w:color="auto" w:sz="8" w:space="0"/>
              <w:bottom w:val="single" w:color="auto" w:sz="8"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3</w:t>
            </w:r>
            <w:r>
              <w:rPr>
                <w:rFonts w:hint="eastAsia" w:cs="宋体"/>
                <w:color w:val="000000" w:themeColor="text1"/>
                <w:kern w:val="24"/>
                <w:sz w:val="20"/>
                <w:szCs w:val="20"/>
                <w14:textFill>
                  <w14:solidFill>
                    <w14:schemeClr w14:val="tx1"/>
                  </w14:solidFill>
                </w14:textFill>
              </w:rPr>
              <w:t>项为满分，不足的按比例扣分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3</w:t>
            </w:r>
          </w:p>
        </w:tc>
        <w:tc>
          <w:tcPr>
            <w:tcW w:w="900" w:type="dxa"/>
            <w:vMerge w:val="continue"/>
            <w:tcBorders>
              <w:bottom w:val="single" w:color="auto" w:sz="12" w:space="0"/>
            </w:tcBorders>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vAlign w:val="center"/>
          </w:tcPr>
          <w:p>
            <w:pPr>
              <w:spacing w:line="240" w:lineRule="auto"/>
              <w:ind w:firstLine="0"/>
              <w:jc w:val="center"/>
              <w:rPr>
                <w:b/>
                <w:sz w:val="20"/>
                <w:szCs w:val="20"/>
              </w:rPr>
            </w:pPr>
          </w:p>
        </w:tc>
        <w:tc>
          <w:tcPr>
            <w:tcW w:w="3780" w:type="dxa"/>
            <w:tcBorders>
              <w:top w:val="single" w:color="auto" w:sz="8"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真菌血清学检测方法</w:t>
            </w:r>
          </w:p>
        </w:tc>
        <w:tc>
          <w:tcPr>
            <w:tcW w:w="6750" w:type="dxa"/>
            <w:tcBorders>
              <w:top w:val="single" w:color="auto" w:sz="8" w:space="0"/>
              <w:bottom w:val="single" w:color="auto" w:sz="8"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6</w:t>
            </w:r>
            <w:r>
              <w:rPr>
                <w:rFonts w:hint="eastAsia" w:cs="宋体"/>
                <w:color w:val="000000" w:themeColor="text1"/>
                <w:kern w:val="24"/>
                <w:sz w:val="20"/>
                <w:szCs w:val="20"/>
                <w14:textFill>
                  <w14:solidFill>
                    <w14:schemeClr w14:val="tx1"/>
                  </w14:solidFill>
                </w14:textFill>
              </w:rPr>
              <w:t>项为满分，不足的按比例扣分</w:t>
            </w:r>
          </w:p>
        </w:tc>
        <w:tc>
          <w:tcPr>
            <w:tcW w:w="900" w:type="dxa"/>
            <w:tcBorders>
              <w:top w:val="single" w:color="auto" w:sz="8"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12</w:t>
            </w:r>
          </w:p>
        </w:tc>
        <w:tc>
          <w:tcPr>
            <w:tcW w:w="900" w:type="dxa"/>
            <w:vMerge w:val="continue"/>
            <w:tcBorders>
              <w:bottom w:val="single" w:color="auto" w:sz="12" w:space="0"/>
            </w:tcBorders>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tcBorders>
              <w:bottom w:val="single" w:color="auto" w:sz="12" w:space="0"/>
            </w:tcBorders>
            <w:vAlign w:val="center"/>
          </w:tcPr>
          <w:p>
            <w:pPr>
              <w:spacing w:line="240" w:lineRule="auto"/>
              <w:ind w:firstLine="0"/>
              <w:jc w:val="center"/>
              <w:rPr>
                <w:b/>
                <w:sz w:val="20"/>
                <w:szCs w:val="20"/>
              </w:rPr>
            </w:pPr>
          </w:p>
        </w:tc>
        <w:tc>
          <w:tcPr>
            <w:tcW w:w="3780" w:type="dxa"/>
            <w:tcBorders>
              <w:top w:val="single" w:color="auto" w:sz="8" w:space="0"/>
              <w:bottom w:val="single" w:color="auto" w:sz="12" w:space="0"/>
            </w:tcBorders>
            <w:shd w:val="clear" w:color="auto" w:fill="auto"/>
            <w:vAlign w:val="bottom"/>
          </w:tcPr>
          <w:p>
            <w:pPr>
              <w:spacing w:line="240" w:lineRule="auto"/>
              <w:ind w:firstLine="0"/>
              <w:jc w:val="left"/>
              <w:rPr>
                <w:rFonts w:cs="微软雅黑"/>
                <w:color w:val="000000"/>
                <w:sz w:val="20"/>
                <w:szCs w:val="20"/>
              </w:rPr>
            </w:pPr>
            <w:r>
              <w:rPr>
                <w:rFonts w:hint="eastAsia" w:cs="微软雅黑"/>
                <w:color w:val="000000"/>
                <w:sz w:val="20"/>
                <w:szCs w:val="20"/>
              </w:rPr>
              <w:t>真菌涂片镜检方法</w:t>
            </w:r>
          </w:p>
          <w:p>
            <w:pPr>
              <w:spacing w:line="240" w:lineRule="auto"/>
              <w:ind w:firstLine="0"/>
              <w:jc w:val="left"/>
              <w:rPr>
                <w:rFonts w:cs="微软雅黑"/>
                <w:color w:val="000000"/>
                <w:sz w:val="20"/>
                <w:szCs w:val="20"/>
              </w:rPr>
            </w:pPr>
          </w:p>
        </w:tc>
        <w:tc>
          <w:tcPr>
            <w:tcW w:w="6750" w:type="dxa"/>
            <w:tcBorders>
              <w:top w:val="single" w:color="auto" w:sz="8" w:space="0"/>
              <w:bottom w:val="single" w:color="auto" w:sz="12"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6</w:t>
            </w:r>
            <w:r>
              <w:rPr>
                <w:rFonts w:hint="eastAsia" w:cs="宋体"/>
                <w:color w:val="000000" w:themeColor="text1"/>
                <w:kern w:val="24"/>
                <w:sz w:val="20"/>
                <w:szCs w:val="20"/>
                <w14:textFill>
                  <w14:solidFill>
                    <w14:schemeClr w14:val="tx1"/>
                  </w14:solidFill>
                </w14:textFill>
              </w:rPr>
              <w:t>项为满分，不足的按比例扣分</w:t>
            </w:r>
          </w:p>
        </w:tc>
        <w:tc>
          <w:tcPr>
            <w:tcW w:w="900" w:type="dxa"/>
            <w:tcBorders>
              <w:top w:val="single" w:color="auto" w:sz="8" w:space="0"/>
              <w:bottom w:val="single" w:color="auto" w:sz="12"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12</w:t>
            </w:r>
          </w:p>
        </w:tc>
        <w:tc>
          <w:tcPr>
            <w:tcW w:w="900" w:type="dxa"/>
            <w:vMerge w:val="continue"/>
            <w:tcBorders>
              <w:bottom w:val="single" w:color="auto" w:sz="12" w:space="0"/>
            </w:tcBorders>
            <w:vAlign w:val="center"/>
          </w:tcPr>
          <w:p>
            <w:pPr>
              <w:spacing w:line="240" w:lineRule="auto"/>
              <w:ind w:firstLine="0"/>
              <w:jc w:val="center"/>
              <w:rPr>
                <w:rFonts w:cs="Arial"/>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72" w:hRule="exact"/>
        </w:trPr>
        <w:tc>
          <w:tcPr>
            <w:tcW w:w="1710" w:type="dxa"/>
            <w:vMerge w:val="restart"/>
            <w:tcBorders>
              <w:top w:val="single" w:color="auto" w:sz="12" w:space="0"/>
            </w:tcBorders>
            <w:vAlign w:val="center"/>
          </w:tcPr>
          <w:p>
            <w:pPr>
              <w:spacing w:line="240" w:lineRule="auto"/>
              <w:ind w:firstLine="0"/>
              <w:jc w:val="center"/>
              <w:rPr>
                <w:b/>
                <w:sz w:val="20"/>
                <w:szCs w:val="20"/>
              </w:rPr>
            </w:pPr>
            <w:r>
              <w:rPr>
                <w:rFonts w:hint="eastAsia"/>
                <w:b/>
                <w:sz w:val="20"/>
                <w:szCs w:val="20"/>
              </w:rPr>
              <w:t>质评及科研</w:t>
            </w:r>
          </w:p>
        </w:tc>
        <w:tc>
          <w:tcPr>
            <w:tcW w:w="3780" w:type="dxa"/>
            <w:tcBorders>
              <w:top w:val="single" w:color="auto" w:sz="12" w:space="0"/>
              <w:bottom w:val="single" w:color="auto" w:sz="8" w:space="0"/>
            </w:tcBorders>
            <w:shd w:val="clear" w:color="auto" w:fill="auto"/>
            <w:vAlign w:val="center"/>
          </w:tcPr>
          <w:p>
            <w:pPr>
              <w:spacing w:line="240" w:lineRule="auto"/>
              <w:ind w:firstLine="0"/>
              <w:jc w:val="left"/>
              <w:rPr>
                <w:rFonts w:cs="微软雅黑"/>
                <w:color w:val="000000"/>
                <w:sz w:val="20"/>
                <w:szCs w:val="20"/>
              </w:rPr>
            </w:pPr>
            <w:r>
              <w:rPr>
                <w:rFonts w:cs="Arial"/>
                <w:color w:val="000000" w:themeColor="text1"/>
                <w:kern w:val="24"/>
                <w:sz w:val="20"/>
                <w:szCs w:val="20"/>
                <w14:textFill>
                  <w14:solidFill>
                    <w14:schemeClr w14:val="tx1"/>
                  </w14:solidFill>
                </w14:textFill>
              </w:rPr>
              <w:t>参与真菌室间质</w:t>
            </w:r>
            <w:r>
              <w:rPr>
                <w:rFonts w:hint="eastAsia" w:cs="宋体"/>
                <w:color w:val="000000" w:themeColor="text1"/>
                <w:kern w:val="24"/>
                <w:sz w:val="20"/>
                <w:szCs w:val="20"/>
                <w14:textFill>
                  <w14:solidFill>
                    <w14:schemeClr w14:val="tx1"/>
                  </w14:solidFill>
                </w14:textFill>
              </w:rPr>
              <w:t>评</w:t>
            </w:r>
          </w:p>
        </w:tc>
        <w:tc>
          <w:tcPr>
            <w:tcW w:w="6750" w:type="dxa"/>
            <w:tcBorders>
              <w:top w:val="single" w:color="auto" w:sz="12" w:space="0"/>
              <w:bottom w:val="single" w:color="auto" w:sz="8" w:space="0"/>
            </w:tcBorders>
            <w:vAlign w:val="center"/>
          </w:tcPr>
          <w:p>
            <w:pPr>
              <w:spacing w:line="240" w:lineRule="auto"/>
              <w:ind w:firstLine="0"/>
              <w:jc w:val="left"/>
              <w:rPr>
                <w:rFonts w:cs="微软雅黑"/>
                <w:color w:val="000000"/>
                <w:sz w:val="20"/>
                <w:szCs w:val="20"/>
              </w:rPr>
            </w:pPr>
            <w:r>
              <w:rPr>
                <w:rFonts w:cs="Calibri"/>
                <w:color w:val="000000" w:themeColor="text1"/>
                <w:kern w:val="24"/>
                <w:sz w:val="20"/>
                <w:szCs w:val="20"/>
                <w:lang w:val="en-US"/>
                <w14:textFill>
                  <w14:solidFill>
                    <w14:schemeClr w14:val="tx1"/>
                  </w14:solidFill>
                </w14:textFill>
              </w:rPr>
              <w:t>CAP 5</w:t>
            </w:r>
            <w:r>
              <w:rPr>
                <w:rFonts w:hint="eastAsia" w:cs="宋体"/>
                <w:color w:val="000000" w:themeColor="text1"/>
                <w:kern w:val="24"/>
                <w:sz w:val="20"/>
                <w:szCs w:val="20"/>
                <w14:textFill>
                  <w14:solidFill>
                    <w14:schemeClr w14:val="tx1"/>
                  </w14:solidFill>
                </w14:textFill>
              </w:rPr>
              <w:t>分；卫计委</w:t>
            </w:r>
            <w:r>
              <w:rPr>
                <w:rFonts w:cs="Calibri"/>
                <w:color w:val="000000" w:themeColor="text1"/>
                <w:kern w:val="24"/>
                <w:sz w:val="20"/>
                <w:szCs w:val="20"/>
                <w:lang w:val="en-US"/>
                <w14:textFill>
                  <w14:solidFill>
                    <w14:schemeClr w14:val="tx1"/>
                  </w14:solidFill>
                </w14:textFill>
              </w:rPr>
              <w:t>4</w:t>
            </w:r>
            <w:r>
              <w:rPr>
                <w:rFonts w:hint="eastAsia" w:cs="宋体"/>
                <w:color w:val="000000" w:themeColor="text1"/>
                <w:kern w:val="24"/>
                <w:sz w:val="20"/>
                <w:szCs w:val="20"/>
                <w14:textFill>
                  <w14:solidFill>
                    <w14:schemeClr w14:val="tx1"/>
                  </w14:solidFill>
                </w14:textFill>
              </w:rPr>
              <w:t>分；省级</w:t>
            </w:r>
            <w:r>
              <w:rPr>
                <w:rFonts w:cs="Calibri"/>
                <w:color w:val="000000" w:themeColor="text1"/>
                <w:kern w:val="24"/>
                <w:sz w:val="20"/>
                <w:szCs w:val="20"/>
                <w:lang w:val="en-US"/>
                <w14:textFill>
                  <w14:solidFill>
                    <w14:schemeClr w14:val="tx1"/>
                  </w14:solidFill>
                </w14:textFill>
              </w:rPr>
              <w:t>3</w:t>
            </w:r>
            <w:r>
              <w:rPr>
                <w:rFonts w:hint="eastAsia" w:cs="宋体"/>
                <w:color w:val="000000" w:themeColor="text1"/>
                <w:kern w:val="24"/>
                <w:sz w:val="20"/>
                <w:szCs w:val="20"/>
                <w14:textFill>
                  <w14:solidFill>
                    <w14:schemeClr w14:val="tx1"/>
                  </w14:solidFill>
                </w14:textFill>
              </w:rPr>
              <w:t>分；市级</w:t>
            </w:r>
            <w:r>
              <w:rPr>
                <w:rFonts w:cs="Calibri"/>
                <w:color w:val="000000" w:themeColor="text1"/>
                <w:kern w:val="24"/>
                <w:sz w:val="20"/>
                <w:szCs w:val="20"/>
                <w:lang w:val="en-US"/>
                <w14:textFill>
                  <w14:solidFill>
                    <w14:schemeClr w14:val="tx1"/>
                  </w14:solidFill>
                </w14:textFill>
              </w:rPr>
              <w:t>2</w:t>
            </w:r>
            <w:r>
              <w:rPr>
                <w:rFonts w:hint="eastAsia" w:cs="宋体"/>
                <w:color w:val="000000" w:themeColor="text1"/>
                <w:kern w:val="24"/>
                <w:sz w:val="20"/>
                <w:szCs w:val="20"/>
                <w14:textFill>
                  <w14:solidFill>
                    <w14:schemeClr w14:val="tx1"/>
                  </w14:solidFill>
                </w14:textFill>
              </w:rPr>
              <w:t>分；其他</w:t>
            </w:r>
            <w:r>
              <w:rPr>
                <w:rFonts w:cs="Calibri"/>
                <w:color w:val="000000" w:themeColor="text1"/>
                <w:kern w:val="24"/>
                <w:sz w:val="20"/>
                <w:szCs w:val="20"/>
                <w:lang w:val="en-US"/>
                <w14:textFill>
                  <w14:solidFill>
                    <w14:schemeClr w14:val="tx1"/>
                  </w14:solidFill>
                </w14:textFill>
              </w:rPr>
              <w:t>1</w:t>
            </w:r>
            <w:r>
              <w:rPr>
                <w:rFonts w:hint="eastAsia" w:cs="宋体"/>
                <w:color w:val="000000" w:themeColor="text1"/>
                <w:kern w:val="24"/>
                <w:sz w:val="20"/>
                <w:szCs w:val="20"/>
                <w14:textFill>
                  <w14:solidFill>
                    <w14:schemeClr w14:val="tx1"/>
                  </w14:solidFill>
                </w14:textFill>
              </w:rPr>
              <w:t>分；不参加</w:t>
            </w:r>
            <w:r>
              <w:rPr>
                <w:rFonts w:cs="Calibri"/>
                <w:color w:val="000000" w:themeColor="text1"/>
                <w:kern w:val="24"/>
                <w:sz w:val="20"/>
                <w:szCs w:val="20"/>
                <w:lang w:val="en-US"/>
                <w14:textFill>
                  <w14:solidFill>
                    <w14:schemeClr w14:val="tx1"/>
                  </w14:solidFill>
                </w14:textFill>
              </w:rPr>
              <w:t>0</w:t>
            </w:r>
            <w:r>
              <w:rPr>
                <w:rFonts w:hint="eastAsia" w:cs="宋体"/>
                <w:color w:val="000000" w:themeColor="text1"/>
                <w:kern w:val="24"/>
                <w:sz w:val="20"/>
                <w:szCs w:val="20"/>
                <w14:textFill>
                  <w14:solidFill>
                    <w14:schemeClr w14:val="tx1"/>
                  </w14:solidFill>
                </w14:textFill>
              </w:rPr>
              <w:t>分</w:t>
            </w:r>
          </w:p>
        </w:tc>
        <w:tc>
          <w:tcPr>
            <w:tcW w:w="900" w:type="dxa"/>
            <w:tcBorders>
              <w:top w:val="single" w:color="auto" w:sz="12" w:space="0"/>
              <w:bottom w:val="single" w:color="auto" w:sz="8"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5</w:t>
            </w:r>
          </w:p>
        </w:tc>
        <w:tc>
          <w:tcPr>
            <w:tcW w:w="900" w:type="dxa"/>
            <w:tcBorders>
              <w:top w:val="single" w:color="auto" w:sz="12" w:space="0"/>
              <w:bottom w:val="single" w:color="auto" w:sz="8" w:space="0"/>
            </w:tcBorders>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710" w:type="dxa"/>
            <w:vMerge w:val="continue"/>
            <w:tcBorders>
              <w:bottom w:val="single" w:color="auto" w:sz="12" w:space="0"/>
            </w:tcBorders>
            <w:vAlign w:val="center"/>
          </w:tcPr>
          <w:p>
            <w:pPr>
              <w:spacing w:line="240" w:lineRule="auto"/>
              <w:ind w:firstLine="0"/>
              <w:jc w:val="left"/>
              <w:rPr>
                <w:b/>
                <w:sz w:val="20"/>
                <w:szCs w:val="20"/>
              </w:rPr>
            </w:pPr>
          </w:p>
        </w:tc>
        <w:tc>
          <w:tcPr>
            <w:tcW w:w="3780" w:type="dxa"/>
            <w:tcBorders>
              <w:top w:val="single" w:color="auto" w:sz="8" w:space="0"/>
              <w:bottom w:val="single" w:color="auto" w:sz="12" w:space="0"/>
            </w:tcBorders>
            <w:shd w:val="clear" w:color="auto" w:fill="auto"/>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真菌相关科学研究</w:t>
            </w:r>
          </w:p>
        </w:tc>
        <w:tc>
          <w:tcPr>
            <w:tcW w:w="6750" w:type="dxa"/>
            <w:tcBorders>
              <w:top w:val="single" w:color="auto" w:sz="8" w:space="0"/>
              <w:bottom w:val="single" w:color="auto" w:sz="12" w:space="0"/>
            </w:tcBorders>
            <w:vAlign w:val="center"/>
          </w:tcPr>
          <w:p>
            <w:pPr>
              <w:spacing w:line="240" w:lineRule="auto"/>
              <w:ind w:firstLine="0"/>
              <w:jc w:val="left"/>
              <w:rPr>
                <w:rFonts w:cs="微软雅黑"/>
                <w:color w:val="000000"/>
                <w:sz w:val="20"/>
                <w:szCs w:val="20"/>
              </w:rPr>
            </w:pPr>
            <w:r>
              <w:rPr>
                <w:rFonts w:hint="eastAsia" w:cs="宋体"/>
                <w:color w:val="000000" w:themeColor="text1"/>
                <w:kern w:val="24"/>
                <w:sz w:val="20"/>
                <w:szCs w:val="20"/>
                <w14:textFill>
                  <w14:solidFill>
                    <w14:schemeClr w14:val="tx1"/>
                  </w14:solidFill>
                </w14:textFill>
              </w:rPr>
              <w:t>参加</w:t>
            </w:r>
            <w:r>
              <w:rPr>
                <w:rFonts w:cs="Calibri"/>
                <w:color w:val="000000" w:themeColor="text1"/>
                <w:kern w:val="24"/>
                <w:sz w:val="20"/>
                <w:szCs w:val="20"/>
                <w:lang w:val="en-US"/>
                <w14:textFill>
                  <w14:solidFill>
                    <w14:schemeClr w14:val="tx1"/>
                  </w14:solidFill>
                </w14:textFill>
              </w:rPr>
              <w:t>2</w:t>
            </w:r>
            <w:r>
              <w:rPr>
                <w:rFonts w:hint="eastAsia" w:cs="宋体"/>
                <w:color w:val="000000" w:themeColor="text1"/>
                <w:kern w:val="24"/>
                <w:sz w:val="20"/>
                <w:szCs w:val="20"/>
                <w14:textFill>
                  <w14:solidFill>
                    <w14:schemeClr w14:val="tx1"/>
                  </w14:solidFill>
                </w14:textFill>
              </w:rPr>
              <w:t>分；不参加</w:t>
            </w:r>
            <w:r>
              <w:rPr>
                <w:rFonts w:cs="Calibri"/>
                <w:color w:val="000000" w:themeColor="text1"/>
                <w:kern w:val="24"/>
                <w:sz w:val="20"/>
                <w:szCs w:val="20"/>
                <w:lang w:val="en-US"/>
                <w14:textFill>
                  <w14:solidFill>
                    <w14:schemeClr w14:val="tx1"/>
                  </w14:solidFill>
                </w14:textFill>
              </w:rPr>
              <w:t>0</w:t>
            </w:r>
            <w:r>
              <w:rPr>
                <w:rFonts w:hint="eastAsia" w:cs="宋体"/>
                <w:color w:val="000000" w:themeColor="text1"/>
                <w:kern w:val="24"/>
                <w:sz w:val="20"/>
                <w:szCs w:val="20"/>
                <w14:textFill>
                  <w14:solidFill>
                    <w14:schemeClr w14:val="tx1"/>
                  </w14:solidFill>
                </w14:textFill>
              </w:rPr>
              <w:t>分</w:t>
            </w:r>
          </w:p>
        </w:tc>
        <w:tc>
          <w:tcPr>
            <w:tcW w:w="900" w:type="dxa"/>
            <w:tcBorders>
              <w:top w:val="single" w:color="auto" w:sz="8" w:space="0"/>
              <w:bottom w:val="single" w:color="auto" w:sz="12" w:space="0"/>
            </w:tcBorders>
            <w:shd w:val="clear" w:color="auto" w:fill="auto"/>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2</w:t>
            </w:r>
          </w:p>
        </w:tc>
        <w:tc>
          <w:tcPr>
            <w:tcW w:w="900" w:type="dxa"/>
            <w:tcBorders>
              <w:top w:val="single" w:color="auto" w:sz="8" w:space="0"/>
              <w:bottom w:val="single" w:color="auto" w:sz="12" w:space="0"/>
            </w:tcBorders>
            <w:vAlign w:val="center"/>
          </w:tcPr>
          <w:p>
            <w:pPr>
              <w:spacing w:line="240" w:lineRule="auto"/>
              <w:ind w:firstLine="0"/>
              <w:jc w:val="center"/>
              <w:rPr>
                <w:rFonts w:cs="Arial"/>
                <w:color w:val="000000"/>
                <w:sz w:val="20"/>
                <w:szCs w:val="20"/>
              </w:rPr>
            </w:pPr>
            <w:r>
              <w:rPr>
                <w:rFonts w:cs="Calibri"/>
                <w:color w:val="000000" w:themeColor="text1"/>
                <w:kern w:val="24"/>
                <w:sz w:val="20"/>
                <w:szCs w:val="20"/>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12240" w:type="dxa"/>
            <w:gridSpan w:val="3"/>
            <w:tcBorders>
              <w:top w:val="single" w:color="auto" w:sz="12" w:space="0"/>
              <w:bottom w:val="single" w:color="auto" w:sz="12" w:space="0"/>
            </w:tcBorders>
            <w:vAlign w:val="center"/>
          </w:tcPr>
          <w:p>
            <w:pPr>
              <w:spacing w:line="240" w:lineRule="auto"/>
              <w:ind w:firstLine="0"/>
              <w:jc w:val="center"/>
              <w:rPr>
                <w:rFonts w:cs="微软雅黑"/>
                <w:color w:val="000000"/>
                <w:sz w:val="20"/>
                <w:szCs w:val="20"/>
              </w:rPr>
            </w:pPr>
            <w:r>
              <w:rPr>
                <w:rFonts w:hint="eastAsia"/>
                <w:b/>
                <w:sz w:val="20"/>
                <w:szCs w:val="20"/>
              </w:rPr>
              <w:t>合计</w:t>
            </w:r>
          </w:p>
        </w:tc>
        <w:tc>
          <w:tcPr>
            <w:tcW w:w="900" w:type="dxa"/>
            <w:tcBorders>
              <w:top w:val="single" w:color="auto" w:sz="12" w:space="0"/>
              <w:bottom w:val="single" w:color="auto" w:sz="12" w:space="0"/>
            </w:tcBorders>
            <w:shd w:val="clear" w:color="auto" w:fill="auto"/>
            <w:vAlign w:val="center"/>
          </w:tcPr>
          <w:p>
            <w:pPr>
              <w:spacing w:line="240" w:lineRule="auto"/>
              <w:ind w:firstLine="0"/>
              <w:jc w:val="center"/>
              <w:rPr>
                <w:rFonts w:cs="Calibri"/>
                <w:color w:val="000000" w:themeColor="text1"/>
                <w:kern w:val="24"/>
                <w:sz w:val="20"/>
                <w:szCs w:val="20"/>
                <w14:textFill>
                  <w14:solidFill>
                    <w14:schemeClr w14:val="tx1"/>
                  </w14:solidFill>
                </w14:textFill>
              </w:rPr>
            </w:pPr>
            <w:r>
              <w:rPr>
                <w:rFonts w:cs="Calibri"/>
                <w:color w:val="000000" w:themeColor="text1"/>
                <w:kern w:val="24"/>
                <w:sz w:val="20"/>
                <w:szCs w:val="20"/>
                <w14:textFill>
                  <w14:solidFill>
                    <w14:schemeClr w14:val="tx1"/>
                  </w14:solidFill>
                </w14:textFill>
              </w:rPr>
              <w:t>89</w:t>
            </w:r>
          </w:p>
        </w:tc>
        <w:tc>
          <w:tcPr>
            <w:tcW w:w="900" w:type="dxa"/>
            <w:tcBorders>
              <w:top w:val="single" w:color="auto" w:sz="12" w:space="0"/>
              <w:bottom w:val="single" w:color="auto" w:sz="12" w:space="0"/>
            </w:tcBorders>
            <w:vAlign w:val="center"/>
          </w:tcPr>
          <w:p>
            <w:pPr>
              <w:spacing w:line="240" w:lineRule="auto"/>
              <w:ind w:firstLine="0"/>
              <w:jc w:val="center"/>
              <w:rPr>
                <w:rFonts w:cs="Calibri"/>
                <w:color w:val="000000" w:themeColor="text1"/>
                <w:kern w:val="24"/>
                <w:sz w:val="20"/>
                <w:szCs w:val="20"/>
                <w14:textFill>
                  <w14:solidFill>
                    <w14:schemeClr w14:val="tx1"/>
                  </w14:solidFill>
                </w14:textFill>
              </w:rPr>
            </w:pPr>
            <w:r>
              <w:rPr>
                <w:rFonts w:cs="Calibri"/>
                <w:color w:val="000000" w:themeColor="text1"/>
                <w:kern w:val="24"/>
                <w:sz w:val="20"/>
                <w:szCs w:val="20"/>
                <w14:textFill>
                  <w14:solidFill>
                    <w14:schemeClr w14:val="tx1"/>
                  </w14:solidFill>
                </w14:textFill>
              </w:rPr>
              <w:t>89</w:t>
            </w:r>
          </w:p>
        </w:tc>
      </w:tr>
    </w:tbl>
    <w:p>
      <w:pPr>
        <w:ind w:firstLine="0"/>
        <w:sectPr>
          <w:pgSz w:w="16838" w:h="11906" w:orient="landscape"/>
          <w:pgMar w:top="1440" w:right="1440" w:bottom="1440" w:left="1440" w:header="708" w:footer="708" w:gutter="0"/>
          <w:cols w:space="708" w:num="1"/>
          <w:titlePg/>
          <w:docGrid w:linePitch="360" w:charSpace="0"/>
        </w:sectPr>
      </w:pPr>
    </w:p>
    <w:p>
      <w:pPr>
        <w:ind w:firstLine="0"/>
        <w:jc w:val="center"/>
      </w:pPr>
      <w:r>
        <w:drawing>
          <wp:inline distT="0" distB="0" distL="0" distR="0">
            <wp:extent cx="3944620" cy="28733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953325" cy="2879754"/>
                    </a:xfrm>
                    <a:prstGeom prst="rect">
                      <a:avLst/>
                    </a:prstGeom>
                    <a:noFill/>
                  </pic:spPr>
                </pic:pic>
              </a:graphicData>
            </a:graphic>
          </wp:inline>
        </w:drawing>
      </w:r>
    </w:p>
    <w:p>
      <w:pPr>
        <w:pStyle w:val="6"/>
      </w:pPr>
      <w:bookmarkStart w:id="80" w:name="_Ref51840912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35</w:t>
      </w:r>
      <w:r>
        <w:fldChar w:fldCharType="end"/>
      </w:r>
      <w:bookmarkEnd w:id="80"/>
      <w:r>
        <w:t xml:space="preserve">   </w:t>
      </w:r>
      <w:r>
        <w:rPr>
          <w:rFonts w:hint="eastAsia"/>
        </w:rPr>
        <w:t>综合排名前20的医院在全国的分布情况</w:t>
      </w:r>
    </w:p>
    <w:p/>
    <w:p>
      <w:pPr>
        <w:pStyle w:val="6"/>
      </w:pPr>
      <w:bookmarkStart w:id="81" w:name="_Ref518654004"/>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3</w:t>
      </w:r>
      <w:r>
        <w:fldChar w:fldCharType="end"/>
      </w:r>
      <w:bookmarkEnd w:id="81"/>
      <w:r>
        <w:t xml:space="preserve">   </w:t>
      </w:r>
      <w:r>
        <w:rPr>
          <w:rFonts w:hint="eastAsia"/>
        </w:rPr>
        <w:t>全国综合评分前20名医院名单</w:t>
      </w:r>
    </w:p>
    <w:tbl>
      <w:tblPr>
        <w:tblStyle w:val="20"/>
        <w:tblW w:w="9015"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0"/>
        <w:gridCol w:w="5310"/>
        <w:gridCol w:w="1350"/>
        <w:gridCol w:w="1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bookmarkStart w:id="82" w:name="OLE_LINK3"/>
            <w:r>
              <w:rPr>
                <w:rFonts w:hint="eastAsia"/>
                <w:b/>
                <w:color w:val="FFFFFF" w:themeColor="background1"/>
                <w:szCs w:val="22"/>
                <w14:textFill>
                  <w14:solidFill>
                    <w14:schemeClr w14:val="bg1"/>
                  </w14:solidFill>
                </w14:textFill>
              </w:rPr>
              <w:t>排名</w:t>
            </w:r>
          </w:p>
        </w:tc>
        <w:tc>
          <w:tcPr>
            <w:tcW w:w="5310" w:type="dxa"/>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医院名称</w:t>
            </w:r>
          </w:p>
        </w:tc>
        <w:tc>
          <w:tcPr>
            <w:tcW w:w="1350"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省份</w:t>
            </w:r>
          </w:p>
        </w:tc>
        <w:tc>
          <w:tcPr>
            <w:tcW w:w="1365"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综合得分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12" w:space="0"/>
              <w:bottom w:val="single" w:color="auto" w:sz="8" w:space="0"/>
            </w:tcBorders>
            <w:vAlign w:val="center"/>
          </w:tcPr>
          <w:p>
            <w:pPr>
              <w:spacing w:line="240" w:lineRule="auto"/>
              <w:ind w:firstLine="0"/>
              <w:jc w:val="left"/>
              <w:rPr>
                <w:b/>
                <w:szCs w:val="22"/>
              </w:rPr>
            </w:pPr>
            <w:r>
              <w:rPr>
                <w:rFonts w:cs="Arial"/>
                <w:color w:val="000000"/>
                <w:szCs w:val="22"/>
              </w:rPr>
              <w:t>1</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sz w:val="20"/>
                <w:szCs w:val="20"/>
              </w:rPr>
            </w:pPr>
            <w:r>
              <w:rPr>
                <w:rFonts w:ascii="宋体" w:hAnsi="宋体" w:cs="Calibri"/>
                <w:color w:val="000000"/>
                <w:szCs w:val="22"/>
              </w:rPr>
              <w:t>北京协和医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ascii="宋体" w:hAnsi="宋体" w:cs="Calibri"/>
                <w:color w:val="000000"/>
                <w:szCs w:val="22"/>
              </w:rPr>
              <w:t>北</w:t>
            </w:r>
            <w:r>
              <w:rPr>
                <w:rFonts w:hint="eastAsia" w:ascii="宋体" w:hAnsi="宋体" w:cs="微软雅黑"/>
                <w:color w:val="000000"/>
                <w:szCs w:val="22"/>
              </w:rPr>
              <w:t>京</w:t>
            </w:r>
          </w:p>
        </w:tc>
        <w:tc>
          <w:tcPr>
            <w:tcW w:w="1365" w:type="dxa"/>
            <w:tcBorders>
              <w:top w:val="single" w:color="auto" w:sz="12"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2</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sz w:val="20"/>
                <w:szCs w:val="20"/>
              </w:rPr>
            </w:pPr>
            <w:r>
              <w:rPr>
                <w:rFonts w:hint="eastAsia" w:ascii="宋体" w:hAnsi="宋体" w:cs="微软雅黑"/>
                <w:color w:val="000000"/>
                <w:szCs w:val="22"/>
              </w:rPr>
              <w:t>中日友好医院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3</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上海市东方医院南院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4</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中山大学附属第一医院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5</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四川大学华西医院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四川</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6</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复旦大学附属中山医院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7</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中国医科大学附属第一医院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8</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江苏省人民医院（南京医科大学第一附属医院）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9</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陆军军医大学第一附属医院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重庆</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9</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武汉大学人民医院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9</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浙江省人民医院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9</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南方医科大学珠江医院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13</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广西玉林市第一人民医院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13</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北京医院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13</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华中科技大学同济医学院附属同济医院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13</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内蒙古医科大学附属医院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内蒙古</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13</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厦门大学附属第一医院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18</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广东省中医院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8" w:space="0"/>
            </w:tcBorders>
            <w:vAlign w:val="center"/>
          </w:tcPr>
          <w:p>
            <w:pPr>
              <w:spacing w:line="240" w:lineRule="auto"/>
              <w:ind w:firstLine="0"/>
              <w:jc w:val="left"/>
              <w:rPr>
                <w:b/>
                <w:szCs w:val="22"/>
              </w:rPr>
            </w:pPr>
            <w:r>
              <w:rPr>
                <w:rFonts w:cs="Arial"/>
                <w:color w:val="000000"/>
                <w:szCs w:val="22"/>
              </w:rPr>
              <w:t>18</w:t>
            </w: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天津市第一中心医院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365" w:type="dxa"/>
            <w:tcBorders>
              <w:top w:val="single" w:color="auto" w:sz="8" w:space="0"/>
              <w:bottom w:val="single" w:color="auto" w:sz="8" w:space="0"/>
            </w:tcBorders>
            <w:shd w:val="clear" w:color="auto" w:fill="auto"/>
            <w:vAlign w:val="center"/>
          </w:tcPr>
          <w:p>
            <w:pPr>
              <w:spacing w:line="240" w:lineRule="auto"/>
              <w:ind w:firstLine="0"/>
              <w:jc w:val="center"/>
              <w:rPr>
                <w:rFonts w:cs="Arial"/>
                <w:szCs w:val="22"/>
              </w:rPr>
            </w:pPr>
            <w:r>
              <w:rPr>
                <w:rFonts w:cs="Arial"/>
                <w:color w:val="000000"/>
                <w:szCs w:val="22"/>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8" w:space="0"/>
              <w:bottom w:val="single" w:color="auto" w:sz="12" w:space="0"/>
            </w:tcBorders>
            <w:vAlign w:val="center"/>
          </w:tcPr>
          <w:p>
            <w:pPr>
              <w:spacing w:line="240" w:lineRule="auto"/>
              <w:ind w:firstLine="0"/>
              <w:jc w:val="left"/>
              <w:rPr>
                <w:b/>
                <w:szCs w:val="22"/>
              </w:rPr>
            </w:pPr>
            <w:r>
              <w:rPr>
                <w:rFonts w:cs="Arial"/>
                <w:color w:val="000000"/>
                <w:szCs w:val="22"/>
              </w:rPr>
              <w:t>20</w:t>
            </w: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解放军第</w:t>
            </w:r>
            <w:r>
              <w:rPr>
                <w:rFonts w:cs="Arial"/>
                <w:color w:val="000000"/>
                <w:szCs w:val="22"/>
              </w:rPr>
              <w:t>401</w:t>
            </w:r>
            <w:r>
              <w:rPr>
                <w:rFonts w:hint="eastAsia" w:ascii="宋体" w:hAnsi="宋体" w:cs="微软雅黑"/>
                <w:color w:val="000000"/>
                <w:szCs w:val="22"/>
              </w:rPr>
              <w:t>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365" w:type="dxa"/>
            <w:tcBorders>
              <w:top w:val="single" w:color="auto" w:sz="8" w:space="0"/>
              <w:bottom w:val="single" w:color="auto" w:sz="12" w:space="0"/>
            </w:tcBorders>
            <w:shd w:val="clear" w:color="auto" w:fill="auto"/>
            <w:vAlign w:val="center"/>
          </w:tcPr>
          <w:p>
            <w:pPr>
              <w:spacing w:line="240" w:lineRule="auto"/>
              <w:ind w:firstLine="0"/>
              <w:jc w:val="center"/>
              <w:rPr>
                <w:rFonts w:cs="Arial"/>
                <w:szCs w:val="22"/>
              </w:rPr>
            </w:pPr>
            <w:r>
              <w:rPr>
                <w:rFonts w:cs="Arial"/>
                <w:color w:val="000000"/>
                <w:szCs w:val="22"/>
              </w:rPr>
              <w:t>60</w:t>
            </w:r>
          </w:p>
        </w:tc>
      </w:tr>
      <w:bookmarkEnd w:id="82"/>
    </w:tbl>
    <w:p>
      <w:pPr>
        <w:ind w:firstLine="0"/>
      </w:pPr>
    </w:p>
    <w:p>
      <w:pPr>
        <w:jc w:val="center"/>
      </w:pPr>
      <w:r>
        <w:drawing>
          <wp:inline distT="0" distB="0" distL="0" distR="0">
            <wp:extent cx="2916555"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2">
                      <a:extLst>
                        <a:ext uri="{28A0092B-C50C-407E-A947-70E740481C1C}">
                          <a14:useLocalDpi xmlns:a14="http://schemas.microsoft.com/office/drawing/2010/main" val="0"/>
                        </a:ext>
                      </a:extLst>
                    </a:blip>
                    <a:srcRect r="14430"/>
                    <a:stretch>
                      <a:fillRect/>
                    </a:stretch>
                  </pic:blipFill>
                  <pic:spPr>
                    <a:xfrm>
                      <a:off x="0" y="0"/>
                      <a:ext cx="2938299" cy="2149243"/>
                    </a:xfrm>
                    <a:prstGeom prst="rect">
                      <a:avLst/>
                    </a:prstGeom>
                    <a:noFill/>
                    <a:ln>
                      <a:noFill/>
                    </a:ln>
                  </pic:spPr>
                </pic:pic>
              </a:graphicData>
            </a:graphic>
          </wp:inline>
        </w:drawing>
      </w:r>
    </w:p>
    <w:p>
      <w:pPr>
        <w:pStyle w:val="6"/>
      </w:pPr>
      <w:bookmarkStart w:id="83" w:name="_Ref51847723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36</w:t>
      </w:r>
      <w:r>
        <w:fldChar w:fldCharType="end"/>
      </w:r>
      <w:bookmarkEnd w:id="83"/>
      <w:r>
        <w:t xml:space="preserve">   </w:t>
      </w:r>
      <w:r>
        <w:rPr>
          <w:rFonts w:hint="eastAsia"/>
        </w:rPr>
        <w:t>医院的真菌检测水平依赖于城市发展水平</w:t>
      </w:r>
    </w:p>
    <w:p/>
    <w:p>
      <w:pPr>
        <w:jc w:val="center"/>
      </w:pPr>
      <w:r>
        <w:drawing>
          <wp:inline distT="0" distB="0" distL="0" distR="0">
            <wp:extent cx="3338195" cy="2099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3">
                      <a:extLst>
                        <a:ext uri="{28A0092B-C50C-407E-A947-70E740481C1C}">
                          <a14:useLocalDpi xmlns:a14="http://schemas.microsoft.com/office/drawing/2010/main" val="0"/>
                        </a:ext>
                      </a:extLst>
                    </a:blip>
                    <a:srcRect t="-6171"/>
                    <a:stretch>
                      <a:fillRect/>
                    </a:stretch>
                  </pic:blipFill>
                  <pic:spPr>
                    <a:xfrm>
                      <a:off x="0" y="0"/>
                      <a:ext cx="3371721" cy="2120457"/>
                    </a:xfrm>
                    <a:prstGeom prst="rect">
                      <a:avLst/>
                    </a:prstGeom>
                    <a:noFill/>
                    <a:ln>
                      <a:noFill/>
                    </a:ln>
                  </pic:spPr>
                </pic:pic>
              </a:graphicData>
            </a:graphic>
          </wp:inline>
        </w:drawing>
      </w:r>
    </w:p>
    <w:p>
      <w:pPr>
        <w:pStyle w:val="6"/>
      </w:pPr>
      <w:bookmarkStart w:id="84" w:name="_Ref518477250"/>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37</w:t>
      </w:r>
      <w:r>
        <w:fldChar w:fldCharType="end"/>
      </w:r>
      <w:bookmarkEnd w:id="84"/>
      <w:r>
        <w:t xml:space="preserve">   </w:t>
      </w:r>
      <w:r>
        <w:rPr>
          <w:rFonts w:hint="eastAsia"/>
        </w:rPr>
        <w:t>规模越大的医院，整体得分越高</w:t>
      </w:r>
    </w:p>
    <w:p/>
    <w:p>
      <w:pPr>
        <w:pStyle w:val="2"/>
      </w:pPr>
      <w:r>
        <w:br w:type="page"/>
      </w:r>
    </w:p>
    <w:p>
      <w:pPr>
        <w:pStyle w:val="2"/>
      </w:pPr>
      <w:bookmarkStart w:id="85" w:name="_Toc519069709"/>
      <w:r>
        <w:rPr>
          <w:rFonts w:hint="eastAsia"/>
        </w:rPr>
        <w:t>讨论与总结</w:t>
      </w:r>
      <w:bookmarkEnd w:id="85"/>
    </w:p>
    <w:p>
      <w:pPr>
        <w:pStyle w:val="3"/>
        <w:numPr>
          <w:ilvl w:val="0"/>
          <w:numId w:val="10"/>
        </w:numPr>
      </w:pPr>
      <w:bookmarkStart w:id="86" w:name="_Toc519069710"/>
      <w:r>
        <w:rPr>
          <w:rFonts w:hint="eastAsia"/>
        </w:rPr>
        <w:t>现状分析与讨论</w:t>
      </w:r>
      <w:bookmarkEnd w:id="86"/>
    </w:p>
    <w:p>
      <w:pPr>
        <w:pStyle w:val="4"/>
        <w:numPr>
          <w:ilvl w:val="0"/>
          <w:numId w:val="11"/>
        </w:numPr>
      </w:pPr>
      <w:bookmarkStart w:id="87" w:name="_Toc519069711"/>
      <w:r>
        <w:rPr>
          <w:rFonts w:hint="eastAsia"/>
        </w:rPr>
        <w:t>真菌检测室硬件水平</w:t>
      </w:r>
      <w:bookmarkEnd w:id="87"/>
    </w:p>
    <w:p>
      <w:r>
        <w:rPr>
          <w:rFonts w:hint="eastAsia"/>
        </w:rPr>
        <w:t>此次调研显示，三甲医院临床真菌检测室的硬件水平还有待提高。2</w:t>
      </w:r>
      <w:r>
        <w:t>016</w:t>
      </w:r>
      <w:r>
        <w:rPr>
          <w:rFonts w:hint="eastAsia"/>
        </w:rPr>
        <w:t xml:space="preserve">年发表的《中国三级甲等综合医院检验医学微生物组建设专家共识》（以下简称《微生物组专家共识》）中建议，三甲医院的微生物实验室应进行物理分区，单独设立真菌室，以防发生交叉感染 </w:t>
      </w:r>
      <w:bookmarkStart w:id="88" w:name="OLE_LINK13"/>
      <w:r>
        <w:fldChar w:fldCharType="begin"/>
      </w:r>
      <w:r>
        <w:instrText xml:space="preserve"> ADDIN EN.CITE &lt;EndNote&gt;&lt;Cite ExcludeAuth="1"&gt;&lt;Year&gt;2016&lt;/Year&gt;&lt;RecNum&gt;19&lt;/RecNum&gt;&lt;DisplayText&gt;[2]&lt;/DisplayText&gt;&lt;record&gt;&lt;rec-number&gt;19&lt;/rec-number&gt;&lt;foreign-keys&gt;&lt;key app="EN" db-id="wpsw5p5parwd99e5z2sp05alf9x5vz9z520s" timestamp="1531205938"&gt;19&lt;/key&gt;&lt;key</w:instrText>
      </w:r>
      <w:r>
        <w:rPr>
          <w:rFonts w:hint="eastAsia"/>
        </w:rPr>
        <w:instrText xml:space="preserve"> app="ENWeb" db-id=""&gt;0&lt;/key&gt;&lt;/foreign-keys&gt;&lt;ref-type name="Journal Article"&gt;17&lt;/ref-type&gt;&lt;contributors&gt;&lt;/contributors&gt;&lt;titles&gt;&lt;title&gt;&lt;style face="normal" font="default" charset="134" size="100%"&gt;中国三级甲等综合医院检验医学微生物学组&lt;/style&gt;&lt;style face="normal" font="default" size="100%"&gt;(&lt;/style&gt;&lt;style face="normal" font="default" charset="134" size="100%"&gt;科&lt;/style&gt;&lt;style face="normal" font="default" size="100%"&gt;)&lt;/style&gt;&lt;style face="normal" font="default" charset="134" size="100%"&gt;建设专家共识&lt;/style&gt;&lt;/title&gt;&lt;secondary-title&gt;&lt;style face="normal" font="default" charset="134" size="100%"&gt;中华检验医学杂志&lt;/style&gt;&lt;/secondary-title&gt;&lt;/titles&gt;&lt;periodical&gt;&lt;full-title&gt;中华检验医学杂志&lt;/full-title&gt;&lt;/periodical&gt;&lt;pages&gt;581-584&lt;/pages&gt;&lt;volume&gt;39&lt;/volume&gt;&lt;number&gt;8&lt;/number&gt;&lt;dates&gt;&lt;year&gt;2016&lt;/year&gt;&lt;/dates&gt;&lt;u</w:instrText>
      </w:r>
      <w:r>
        <w:instrText xml:space="preserve">rls&gt;&lt;/urls&gt;&lt;/record&gt;&lt;/Cite&gt;&lt;/EndNote&gt;</w:instrText>
      </w:r>
      <w:r>
        <w:fldChar w:fldCharType="separate"/>
      </w:r>
      <w:r>
        <w:t>[2]</w:t>
      </w:r>
      <w:r>
        <w:fldChar w:fldCharType="end"/>
      </w:r>
      <w:bookmarkEnd w:id="88"/>
      <w:r>
        <w:rPr>
          <w:rFonts w:hint="eastAsia"/>
        </w:rPr>
        <w:t>。然而，受临床微生物实验室总面积等因素限制，目前大部分三甲医院（7</w:t>
      </w:r>
      <w:r>
        <w:t>3</w:t>
      </w:r>
      <w:r>
        <w:rPr>
          <w:rFonts w:hint="eastAsia"/>
        </w:rPr>
        <w:t>%）暂不具备独立的真菌工作区域。此外，设置独立真菌安全柜的医院比例也较低，仅占总数的3</w:t>
      </w:r>
      <w:r>
        <w:t>1</w:t>
      </w:r>
      <w:r>
        <w:rPr>
          <w:rFonts w:hint="eastAsia"/>
        </w:rPr>
        <w:t>%，其他医院均依赖于公用安全柜进行真菌检测。在培养孵箱方面，虽然有7</w:t>
      </w:r>
      <w:r>
        <w:t>2</w:t>
      </w:r>
      <w:r>
        <w:rPr>
          <w:rFonts w:hint="eastAsia"/>
        </w:rPr>
        <w:t>%</w:t>
      </w:r>
      <w:r>
        <w:t xml:space="preserve"> </w:t>
      </w:r>
      <w:r>
        <w:rPr>
          <w:rFonts w:hint="eastAsia"/>
        </w:rPr>
        <w:t>的医院具备独立的真菌培养孵箱，但同时配备</w:t>
      </w:r>
      <w:r>
        <w:t>28</w:t>
      </w:r>
      <w:r>
        <w:rPr>
          <w:rFonts w:hint="eastAsia"/>
          <w:vertAlign w:val="superscript"/>
        </w:rPr>
        <w:t>o</w:t>
      </w:r>
      <w:r>
        <w:rPr>
          <w:rFonts w:hint="eastAsia"/>
        </w:rPr>
        <w:t xml:space="preserve">C 和 </w:t>
      </w:r>
      <w:r>
        <w:t>35</w:t>
      </w:r>
      <w:r>
        <w:rPr>
          <w:rFonts w:hint="eastAsia"/>
          <w:vertAlign w:val="superscript"/>
        </w:rPr>
        <w:t>o</w:t>
      </w:r>
      <w:r>
        <w:rPr>
          <w:rFonts w:hint="eastAsia"/>
        </w:rPr>
        <w:t>C 培养孵箱的医院仅占总数的五分之一；配备单一温度孵箱的医院以2</w:t>
      </w:r>
      <w:r>
        <w:t>8</w:t>
      </w:r>
      <w:r>
        <w:rPr>
          <w:rFonts w:hint="eastAsia"/>
          <w:vertAlign w:val="superscript"/>
        </w:rPr>
        <w:t>o</w:t>
      </w:r>
      <w:r>
        <w:rPr>
          <w:rFonts w:hint="eastAsia"/>
        </w:rPr>
        <w:t>C 为主，多数医院无独立的3</w:t>
      </w:r>
      <w:r>
        <w:t>5</w:t>
      </w:r>
      <w:r>
        <w:rPr>
          <w:rFonts w:hint="eastAsia"/>
          <w:vertAlign w:val="superscript"/>
        </w:rPr>
        <w:t>o</w:t>
      </w:r>
      <w:r>
        <w:rPr>
          <w:rFonts w:hint="eastAsia"/>
        </w:rPr>
        <w:t>C 真菌培养孵箱。临床真菌培养条件由菌种及临床标本特性决定，虽然大多数病原性真菌均可在2</w:t>
      </w:r>
      <w:r>
        <w:t>8</w:t>
      </w:r>
      <w:r>
        <w:rPr>
          <w:rFonts w:hint="eastAsia"/>
          <w:vertAlign w:val="superscript"/>
        </w:rPr>
        <w:t>o</w:t>
      </w:r>
      <w:r>
        <w:rPr>
          <w:rFonts w:hint="eastAsia"/>
        </w:rPr>
        <w:t xml:space="preserve">C的环境中生长，但随着我国侵袭性真菌感染流行率的提高 </w:t>
      </w:r>
      <w:r>
        <w:fldChar w:fldCharType="begin">
          <w:fldData xml:space="preserve">PEVuZE5vdGU+PENpdGU+PEF1dGhvcj5DaGVuPC9BdXRob3I+PFllYXI+MjAxODwvWWVhcj48UmVj
TnVtPjEwPC9SZWNOdW0+PERpc3BsYXlUZXh0PlsxXTwvRGlzcGxheVRleHQ+PHJlY29yZD48cmVj
LW51bWJlcj4xMDwvcmVjLW51bWJlcj48Zm9yZWlnbi1rZXlzPjxrZXkgYXBwPSJFTiIgZGItaWQ9
Indwc3c1cDVwYXJ3ZDk5ZTV6MnNwMDVhbGY5eDV2ejl6NTIwcyIgdGltZXN0YW1wPSIxNTMwMDA5
MjIxIj4xMDwva2V5PjxrZXkgYXBwPSJFTldlYiIgZGItaWQ9IiI+MDwva2V5PjwvZm9yZWlnbi1r
ZXlzPjxyZWYtdHlwZSBuYW1lPSJKb3VybmFsIEFydGljbGUiPjE3PC9yZWYtdHlwZT48Y29udHJp
YnV0b3JzPjxhdXRob3JzPjxhdXRob3I+Q2hlbiwgTS48L2F1dGhvcj48YXV0aG9yPlh1LCBZLjwv
YXV0aG9yPjxhdXRob3I+SG9uZywgTi48L2F1dGhvcj48YXV0aG9yPllhbmcsIFkuPC9hdXRob3I+
PGF1dGhvcj5MZWksIFcuPC9hdXRob3I+PGF1dGhvcj5EdSwgTC48L2F1dGhvcj48YXV0aG9yPlpo
YW8sIEouPC9hdXRob3I+PGF1dGhvcj5MZWksIFguPC9hdXRob3I+PGF1dGhvcj5YaW9uZywgTC48
L2F1dGhvcj48YXV0aG9yPkNhaSwgTC48L2F1dGhvcj48YXV0aG9yPlh1LCBILjwvYXV0aG9yPjxh
dXRob3I+UGFuLCBXLjwvYXV0aG9yPjxhdXRob3I+TGlhbywgVy48L2F1dGhvcj48L2F1dGhvcnM+
PC9jb250cmlidXRvcnM+PGF1dGgtYWRkcmVzcz5EZXBhcnRtZW50IG9mIERlcm1hdG9sb2d5LCBD
aGFuZ3poZW5nIEhvc3BpdGFsLCBTZWNvbmQgTWlsaXRhcnkgTWVkaWNhbCBVbml2ZXJzaXR5LCBT
aGFuZ2hhaSwgMjAwMDAzLCBDaGluYS4mI3hEO1NoYW5naGFpIEtleSBMYWJvcmF0b3J5IG9mIE1v
bGVjdWxhciBNZWRpY2FsIE15Y29sb2d5LCBDaGFuZ3poZW5nIEhvc3BpdGFsLCBTZWNvbmQgTWls
aXRhcnkgTWVkaWNhbCBVbml2ZXJzaXR5LCBTaGFuZ2hhaSwgMjAwMDAzLCBDaGluYS4mI3hEO0Rl
cGFydG1lbnQgb2YgRGVybWF0b2xvZ3ksIFRvbmdqaSBIb3NwaXRhbCwgVG9uZ2ppIFVuaXZlcnNp
dHksIFNoYW5naGFpLCAyMDA0NDIsIENoaW5hLiYjeEQ7RGVwYXJ0bWVudCBvZiBEZXJtYXRvbG9n
eSwgRGFwaW5nIEhvc3BpdGFsLCBUaGlyZCBNaWxpdGFyeSBNZWRpY2FsIFVuaXZlcnNpdHksIENo
b25ncWluZywgNDAwMDQyLCBDaGluYS4mI3hEO0RlcGFydG1lbnQgb2YgRGVybWF0b2xvZ3ksIHRo
ZSBQZW9wbGUmYXBvcztzIEhvc3BpdGFsIG9mIFlhbiZhcG9zO2FuLCBZYW4mYXBvczthbiwgNzE2
MDAwLCBDaGluYS4mI3hEO0RlcGFydG1lbnQgb2YgRGVybWF0b2xvZ3ksIHRoZSBGaXJzdCBBZmZp
bGlhdGVkIEhvc3BpdGFsIG9mIFhpYW1lbiBVbml2ZXJzaXR5LCBYaWFtZW4sIDM2MTAwMywgQ2hp
bmEuJiN4RDtEZXBhcnRtZW50IG9mIERlcm1hdG9sb2d5LCBTaGFuZ2hhaSBOaW50aCBQZW9wbGUm
YXBvcztzIEhvc3BpdGFsLCBTaGFuZ2hhaSBKaWFvIFRvbmcgVW5pdmVyc2l0eSBTY2hvb2wgb2Yg
TWVkaWNpbmUsIFNoYW5naGFpLCAyMDAwMTEsIENoaW5hLiYjeEQ7RGVwYXJ0bWVudCBvZiBEZXJt
YXRvbG9neSwgQ2hhbmd6aGVuZyBIb3NwaXRhbCwgU2Vjb25kIE1pbGl0YXJ5IE1lZGljYWwgVW5p
dmVyc2l0eSwgU2hhbmdoYWksIDIwMDAwMywgQ2hpbmEuIHBhbndlaWh1YUBtZWRtYWlsLmNvbS5j
bi4mI3hEO1NoYW5naGFpIEtleSBMYWJvcmF0b3J5IG9mIE1vbGVjdWxhciBNZWRpY2FsIE15Y29s
b2d5LCBDaGFuZ3poZW5nIEhvc3BpdGFsLCBTZWNvbmQgTWlsaXRhcnkgTWVkaWNhbCBVbml2ZXJz
aXR5LCBTaGFuZ2hhaSwgMjAwMDAzLCBDaGluYS4gbGlhb3dhbnFpbmdAc21tdS5lZHUuY24uPC9h
dXRoLWFkZHJlc3M+PHRpdGxlcz48dGl0bGU+RXBpZGVtaW9sb2d5IG9mIGZ1bmdhbCBpbmZlY3Rp
b25zIGluIENoaW5hPC90aXRsZT48c2Vjb25kYXJ5LXRpdGxlPkZyb250IE1lZDwvc2Vjb25kYXJ5
LXRpdGxlPjwvdGl0bGVzPjxwZXJpb2RpY2FsPjxmdWxsLXRpdGxlPkZyb250IE1lZDwvZnVsbC10
aXRsZT48L3BlcmlvZGljYWw+PHBhZ2VzPjU4LTc1PC9wYWdlcz48dm9sdW1lPjEyPC92b2x1bWU+
PG51bWJlcj4xPC9udW1iZXI+PGVkaXRpb24+MjAxOC8wMS8zMTwvZWRpdGlvbj48a2V5d29yZHM+
PGtleXdvcmQ+Q2hpbmE8L2tleXdvcmQ+PGtleXdvcmQ+ZXBpZGVtaW9sb2d5PC9rZXl3b3JkPjxr
ZXl3b3JkPmZ1bmdpPC9rZXl3b3JkPjxrZXl3b3JkPmluZmVjdGlvbjwva2V5d29yZD48L2tleXdv
cmRzPjxkYXRlcz48eWVhcj4yMDE4PC95ZWFyPjxwdWItZGF0ZXM+PGRhdGU+RmViPC9kYXRlPjwv
cHViLWRhdGVzPjwvZGF0ZXM+PGlzYm4+MjA5NS0wMjI1IChFbGVjdHJvbmljKSYjeEQ7MjA5NS0w
MjE3IChMaW5raW5nKTwvaXNibj48YWNjZXNzaW9uLW51bT4yOTM4MDI5NzwvYWNjZXNzaW9uLW51
bT48dXJscz48cmVsYXRlZC11cmxzPjx1cmw+aHR0cHM6Ly93d3cubmNiaS5ubG0ubmloLmdvdi9w
dWJtZWQvMjkzODAyOTc8L3VybD48L3JlbGF0ZWQtdXJscz48L3VybHM+PGVsZWN0cm9uaWMtcmVz
b3VyY2UtbnVtPjEwLjEwMDcvczExNjg0LTAxNy0wNjAxLTA8L2VsZWN0cm9uaWMtcmVzb3VyY2Ut
bnVtPjwvcmVjb3JkPjwvQ2l0ZT48L0VuZE5vdGU+AGAA
</w:fldData>
        </w:fldChar>
      </w:r>
      <w:r>
        <w:instrText xml:space="preserve"> ADDIN EN.CITE </w:instrText>
      </w:r>
      <w:r>
        <w:fldChar w:fldCharType="begin">
          <w:fldData xml:space="preserve">PEVuZE5vdGU+PENpdGU+PEF1dGhvcj5DaGVuPC9BdXRob3I+PFllYXI+MjAxODwvWWVhcj48UmVj
TnVtPjEwPC9SZWNOdW0+PERpc3BsYXlUZXh0PlsxXTwvRGlzcGxheVRleHQ+PHJlY29yZD48cmVj
LW51bWJlcj4xMDwvcmVjLW51bWJlcj48Zm9yZWlnbi1rZXlzPjxrZXkgYXBwPSJFTiIgZGItaWQ9
Indwc3c1cDVwYXJ3ZDk5ZTV6MnNwMDVhbGY5eDV2ejl6NTIwcyIgdGltZXN0YW1wPSIxNTMwMDA5
MjIxIj4xMDwva2V5PjxrZXkgYXBwPSJFTldlYiIgZGItaWQ9IiI+MDwva2V5PjwvZm9yZWlnbi1r
ZXlzPjxyZWYtdHlwZSBuYW1lPSJKb3VybmFsIEFydGljbGUiPjE3PC9yZWYtdHlwZT48Y29udHJp
YnV0b3JzPjxhdXRob3JzPjxhdXRob3I+Q2hlbiwgTS48L2F1dGhvcj48YXV0aG9yPlh1LCBZLjwv
YXV0aG9yPjxhdXRob3I+SG9uZywgTi48L2F1dGhvcj48YXV0aG9yPllhbmcsIFkuPC9hdXRob3I+
PGF1dGhvcj5MZWksIFcuPC9hdXRob3I+PGF1dGhvcj5EdSwgTC48L2F1dGhvcj48YXV0aG9yPlpo
YW8sIEouPC9hdXRob3I+PGF1dGhvcj5MZWksIFguPC9hdXRob3I+PGF1dGhvcj5YaW9uZywgTC48
L2F1dGhvcj48YXV0aG9yPkNhaSwgTC48L2F1dGhvcj48YXV0aG9yPlh1LCBILjwvYXV0aG9yPjxh
dXRob3I+UGFuLCBXLjwvYXV0aG9yPjxhdXRob3I+TGlhbywgVy48L2F1dGhvcj48L2F1dGhvcnM+
PC9jb250cmlidXRvcnM+PGF1dGgtYWRkcmVzcz5EZXBhcnRtZW50IG9mIERlcm1hdG9sb2d5LCBD
aGFuZ3poZW5nIEhvc3BpdGFsLCBTZWNvbmQgTWlsaXRhcnkgTWVkaWNhbCBVbml2ZXJzaXR5LCBT
aGFuZ2hhaSwgMjAwMDAzLCBDaGluYS4mI3hEO1NoYW5naGFpIEtleSBMYWJvcmF0b3J5IG9mIE1v
bGVjdWxhciBNZWRpY2FsIE15Y29sb2d5LCBDaGFuZ3poZW5nIEhvc3BpdGFsLCBTZWNvbmQgTWls
aXRhcnkgTWVkaWNhbCBVbml2ZXJzaXR5LCBTaGFuZ2hhaSwgMjAwMDAzLCBDaGluYS4mI3hEO0Rl
cGFydG1lbnQgb2YgRGVybWF0b2xvZ3ksIFRvbmdqaSBIb3NwaXRhbCwgVG9uZ2ppIFVuaXZlcnNp
dHksIFNoYW5naGFpLCAyMDA0NDIsIENoaW5hLiYjeEQ7RGVwYXJ0bWVudCBvZiBEZXJtYXRvbG9n
eSwgRGFwaW5nIEhvc3BpdGFsLCBUaGlyZCBNaWxpdGFyeSBNZWRpY2FsIFVuaXZlcnNpdHksIENo
b25ncWluZywgNDAwMDQyLCBDaGluYS4mI3hEO0RlcGFydG1lbnQgb2YgRGVybWF0b2xvZ3ksIHRo
ZSBQZW9wbGUmYXBvcztzIEhvc3BpdGFsIG9mIFlhbiZhcG9zO2FuLCBZYW4mYXBvczthbiwgNzE2
MDAwLCBDaGluYS4mI3hEO0RlcGFydG1lbnQgb2YgRGVybWF0b2xvZ3ksIHRoZSBGaXJzdCBBZmZp
bGlhdGVkIEhvc3BpdGFsIG9mIFhpYW1lbiBVbml2ZXJzaXR5LCBYaWFtZW4sIDM2MTAwMywgQ2hp
bmEuJiN4RDtEZXBhcnRtZW50IG9mIERlcm1hdG9sb2d5LCBTaGFuZ2hhaSBOaW50aCBQZW9wbGUm
YXBvcztzIEhvc3BpdGFsLCBTaGFuZ2hhaSBKaWFvIFRvbmcgVW5pdmVyc2l0eSBTY2hvb2wgb2Yg
TWVkaWNpbmUsIFNoYW5naGFpLCAyMDAwMTEsIENoaW5hLiYjeEQ7RGVwYXJ0bWVudCBvZiBEZXJt
YXRvbG9neSwgQ2hhbmd6aGVuZyBIb3NwaXRhbCwgU2Vjb25kIE1pbGl0YXJ5IE1lZGljYWwgVW5p
dmVyc2l0eSwgU2hhbmdoYWksIDIwMDAwMywgQ2hpbmEuIHBhbndlaWh1YUBtZWRtYWlsLmNvbS5j
bi4mI3hEO1NoYW5naGFpIEtleSBMYWJvcmF0b3J5IG9mIE1vbGVjdWxhciBNZWRpY2FsIE15Y29s
b2d5LCBDaGFuZ3poZW5nIEhvc3BpdGFsLCBTZWNvbmQgTWlsaXRhcnkgTWVkaWNhbCBVbml2ZXJz
aXR5LCBTaGFuZ2hhaSwgMjAwMDAzLCBDaGluYS4gbGlhb3dhbnFpbmdAc21tdS5lZHUuY24uPC9h
dXRoLWFkZHJlc3M+PHRpdGxlcz48dGl0bGU+RXBpZGVtaW9sb2d5IG9mIGZ1bmdhbCBpbmZlY3Rp
b25zIGluIENoaW5hPC90aXRsZT48c2Vjb25kYXJ5LXRpdGxlPkZyb250IE1lZDwvc2Vjb25kYXJ5
LXRpdGxlPjwvdGl0bGVzPjxwZXJpb2RpY2FsPjxmdWxsLXRpdGxlPkZyb250IE1lZDwvZnVsbC10
aXRsZT48L3BlcmlvZGljYWw+PHBhZ2VzPjU4LTc1PC9wYWdlcz48dm9sdW1lPjEyPC92b2x1bWU+
PG51bWJlcj4xPC9udW1iZXI+PGVkaXRpb24+MjAxOC8wMS8zMTwvZWRpdGlvbj48a2V5d29yZHM+
PGtleXdvcmQ+Q2hpbmE8L2tleXdvcmQ+PGtleXdvcmQ+ZXBpZGVtaW9sb2d5PC9rZXl3b3JkPjxr
ZXl3b3JkPmZ1bmdpPC9rZXl3b3JkPjxrZXl3b3JkPmluZmVjdGlvbjwva2V5d29yZD48L2tleXdv
cmRzPjxkYXRlcz48eWVhcj4yMDE4PC95ZWFyPjxwdWItZGF0ZXM+PGRhdGU+RmViPC9kYXRlPjwv
cHViLWRhdGVzPjwvZGF0ZXM+PGlzYm4+MjA5NS0wMjI1IChFbGVjdHJvbmljKSYjeEQ7MjA5NS0w
MjE3IChMaW5raW5nKTwvaXNibj48YWNjZXNzaW9uLW51bT4yOTM4MDI5NzwvYWNjZXNzaW9uLW51
bT48dXJscz48cmVsYXRlZC11cmxzPjx1cmw+aHR0cHM6Ly93d3cubmNiaS5ubG0ubmloLmdvdi9w
dWJtZWQvMjkzODAyOTc8L3VybD48L3JlbGF0ZWQtdXJscz48L3VybHM+PGVsZWN0cm9uaWMtcmVz
b3VyY2UtbnVtPjEwLjEwMDcvczExNjg0LTAxNy0wNjAxLTA8L2VsZWN0cm9uaWMtcmVzb3VyY2Ut
bnVtPjwvcmVjb3JkPjwvQ2l0ZT48L0VuZE5vdGU+AGAA
</w:fldData>
        </w:fldChar>
      </w:r>
      <w:r>
        <w:instrText xml:space="preserve"> ADDIN EN.CITE.DATA </w:instrText>
      </w:r>
      <w:r>
        <w:fldChar w:fldCharType="end"/>
      </w:r>
      <w:r>
        <w:fldChar w:fldCharType="separate"/>
      </w:r>
      <w:r>
        <w:t>[1]</w:t>
      </w:r>
      <w:r>
        <w:fldChar w:fldCharType="end"/>
      </w:r>
      <w:r>
        <w:rPr>
          <w:rFonts w:hint="eastAsia"/>
        </w:rPr>
        <w:t>，越来越多的临床样本将面临在不同温度（</w:t>
      </w:r>
      <w:r>
        <w:t>28</w:t>
      </w:r>
      <w:r>
        <w:rPr>
          <w:rFonts w:hint="eastAsia"/>
          <w:vertAlign w:val="superscript"/>
        </w:rPr>
        <w:t>o</w:t>
      </w:r>
      <w:r>
        <w:rPr>
          <w:rFonts w:hint="eastAsia"/>
        </w:rPr>
        <w:t>C，</w:t>
      </w:r>
      <w:r>
        <w:t>35</w:t>
      </w:r>
      <w:r>
        <w:rPr>
          <w:rFonts w:hint="eastAsia"/>
        </w:rPr>
        <w:t>-</w:t>
      </w:r>
      <w:r>
        <w:t>37</w:t>
      </w:r>
      <w:r>
        <w:rPr>
          <w:rFonts w:hint="eastAsia"/>
          <w:vertAlign w:val="superscript"/>
        </w:rPr>
        <w:t>o</w:t>
      </w:r>
      <w:r>
        <w:rPr>
          <w:rFonts w:hint="eastAsia"/>
        </w:rPr>
        <w:t>C）进行培养的需求。因此，三甲医院应在有条件的情况下同时配备</w:t>
      </w:r>
      <w:r>
        <w:t>28</w:t>
      </w:r>
      <w:r>
        <w:rPr>
          <w:rFonts w:hint="eastAsia"/>
          <w:vertAlign w:val="superscript"/>
        </w:rPr>
        <w:t>o</w:t>
      </w:r>
      <w:r>
        <w:rPr>
          <w:rFonts w:hint="eastAsia"/>
        </w:rPr>
        <w:t xml:space="preserve">C 和 </w:t>
      </w:r>
      <w:r>
        <w:t>35</w:t>
      </w:r>
      <w:r>
        <w:rPr>
          <w:rFonts w:hint="eastAsia"/>
          <w:vertAlign w:val="superscript"/>
        </w:rPr>
        <w:t>o</w:t>
      </w:r>
      <w:r>
        <w:rPr>
          <w:rFonts w:hint="eastAsia"/>
        </w:rPr>
        <w:t>C 的独立真菌培养孵箱。</w:t>
      </w:r>
    </w:p>
    <w:p/>
    <w:p>
      <w:pPr>
        <w:pStyle w:val="4"/>
        <w:numPr>
          <w:ilvl w:val="0"/>
          <w:numId w:val="11"/>
        </w:numPr>
      </w:pPr>
      <w:bookmarkStart w:id="89" w:name="_Toc519069712"/>
      <w:r>
        <w:rPr>
          <w:rFonts w:hint="eastAsia"/>
        </w:rPr>
        <w:t>真菌检测人员配备情况</w:t>
      </w:r>
      <w:bookmarkEnd w:id="89"/>
    </w:p>
    <w:p>
      <w:r>
        <w:rPr>
          <w:rFonts w:hint="eastAsia"/>
        </w:rPr>
        <w:t>根据《微生物组专家共识》，对于拥有1</w:t>
      </w:r>
      <w:r>
        <w:t>000</w:t>
      </w:r>
      <w:r>
        <w:rPr>
          <w:rFonts w:hint="eastAsia"/>
        </w:rPr>
        <w:t>-</w:t>
      </w:r>
      <w:r>
        <w:t>3000</w:t>
      </w:r>
      <w:r>
        <w:rPr>
          <w:rFonts w:hint="eastAsia"/>
        </w:rPr>
        <w:t xml:space="preserve">床位数的三甲医疗机构，临床微生物组的员工数量与床位数的比例应不低于1: </w:t>
      </w:r>
      <w:r>
        <w:t xml:space="preserve">100 </w:t>
      </w:r>
      <w:r>
        <w:fldChar w:fldCharType="begin"/>
      </w:r>
      <w:r>
        <w:instrText xml:space="preserve"> ADDIN EN.CITE &lt;EndNote&gt;&lt;Cite ExcludeAuth="1"&gt;&lt;Year&gt;2016&lt;/Year&gt;&lt;RecNum&gt;19&lt;/RecNum&gt;&lt;DisplayText&gt;[2]&lt;/DisplayText&gt;&lt;record&gt;&lt;rec-number&gt;19&lt;/rec-number&gt;&lt;foreign-keys&gt;&lt;key app="EN" db-id="wpsw5p5parwd99e5z2sp05alf9x5vz9z520s" timestamp="1531205938"&gt;19&lt;/key&gt;&lt;key</w:instrText>
      </w:r>
      <w:r>
        <w:rPr>
          <w:rFonts w:hint="eastAsia"/>
        </w:rPr>
        <w:instrText xml:space="preserve"> app="ENWeb" db-id=""&gt;0&lt;/key&gt;&lt;/foreign-keys&gt;&lt;ref-type name="Journal Article"&gt;17&lt;/ref-type&gt;&lt;contributors&gt;&lt;/contributors&gt;&lt;titles&gt;&lt;title&gt;&lt;style face="normal" font="default" charset="134" size="100%"&gt;中国三级甲等综合医院检验医学微生物学组&lt;/style&gt;&lt;style face="normal" font="default" size="100%"&gt;(&lt;/style&gt;&lt;style face="normal" font="default" charset="134" size="100%"&gt;科&lt;/style&gt;&lt;style face="normal" font="default" size="100%"&gt;)&lt;/style&gt;&lt;style face="normal" font="default" charset="134" size="100%"&gt;建设专家共识&lt;/style&gt;&lt;/title&gt;&lt;secondary-title&gt;&lt;style face="normal" font="default" charset="134" size="100%"&gt;中华检验医学杂志&lt;/style&gt;&lt;/secondary-title&gt;&lt;/titles&gt;&lt;periodical&gt;&lt;full-title&gt;中华检验医学杂志&lt;/full-title&gt;&lt;/periodical&gt;&lt;pages&gt;581-584&lt;/pages&gt;&lt;volume&gt;39&lt;/volume&gt;&lt;number&gt;8&lt;/number&gt;&lt;dates&gt;&lt;year&gt;2016&lt;/year&gt;&lt;/dates&gt;&lt;u</w:instrText>
      </w:r>
      <w:r>
        <w:instrText xml:space="preserve">rls&gt;&lt;/urls&gt;&lt;/record&gt;&lt;/Cite&gt;&lt;/EndNote&gt;</w:instrText>
      </w:r>
      <w:r>
        <w:fldChar w:fldCharType="separate"/>
      </w:r>
      <w:r>
        <w:t>[2]</w:t>
      </w:r>
      <w:r>
        <w:fldChar w:fldCharType="end"/>
      </w:r>
      <w:r>
        <w:rPr>
          <w:rFonts w:hint="eastAsia"/>
        </w:rPr>
        <w:t>。本次调查显示，在拥有1</w:t>
      </w:r>
      <w:r>
        <w:t>000-3000</w:t>
      </w:r>
      <w:r>
        <w:rPr>
          <w:rFonts w:hint="eastAsia"/>
        </w:rPr>
        <w:t>张床位数的三甲医院中（N</w:t>
      </w:r>
      <w:r>
        <w:t>=278</w:t>
      </w:r>
      <w:r>
        <w:rPr>
          <w:rFonts w:hint="eastAsia"/>
        </w:rPr>
        <w:t xml:space="preserve">），微生物组员工数与床位数平均比值约为1: </w:t>
      </w:r>
      <w:r>
        <w:t>200</w:t>
      </w:r>
      <w:r>
        <w:rPr>
          <w:rFonts w:hint="eastAsia"/>
        </w:rPr>
        <w:t>；微生物组中的真菌检测人数与床位数的平均比例仅1:</w:t>
      </w:r>
      <w:r>
        <w:t xml:space="preserve"> 500</w:t>
      </w:r>
      <w:r>
        <w:rPr>
          <w:rFonts w:hint="eastAsia"/>
        </w:rPr>
        <w:t>，其中</w:t>
      </w:r>
      <w:r>
        <w:t>15</w:t>
      </w:r>
      <w:r>
        <w:rPr>
          <w:rFonts w:hint="eastAsia"/>
        </w:rPr>
        <w:t>家医院（</w:t>
      </w:r>
      <w:r>
        <w:t>5.4</w:t>
      </w:r>
      <w:r>
        <w:rPr>
          <w:rFonts w:hint="eastAsia"/>
        </w:rPr>
        <w:t>%）的比例甚至低于1:</w:t>
      </w:r>
      <w:r>
        <w:t xml:space="preserve"> 1000</w:t>
      </w:r>
      <w:r>
        <w:rPr>
          <w:rFonts w:hint="eastAsia"/>
        </w:rPr>
        <w:t>，即每</w:t>
      </w:r>
      <w:r>
        <w:t>1000</w:t>
      </w:r>
      <w:r>
        <w:rPr>
          <w:rFonts w:hint="eastAsia"/>
        </w:rPr>
        <w:t>个床位配备的真菌检测工作人员不足一人。该数据表明，从床位数角度分析，国内医院的微生物组检测人员尤其是真菌检测人员配备尚有不足。</w:t>
      </w:r>
    </w:p>
    <w:p>
      <w:r>
        <w:rPr>
          <w:rFonts w:hint="eastAsia"/>
        </w:rPr>
        <w:t>此外，根据调查统计的真菌送检量及能够独立进行真菌检测的人员数，我们估算了每家医院的人均周检测量。如</w:t>
      </w:r>
      <w:r>
        <w:fldChar w:fldCharType="begin"/>
      </w:r>
      <w:r>
        <w:instrText xml:space="preserve"> </w:instrText>
      </w:r>
      <w:r>
        <w:rPr>
          <w:rFonts w:hint="eastAsia"/>
        </w:rPr>
        <w:instrText xml:space="preserve">REF _Ref518577601 \h</w:instrText>
      </w:r>
      <w:r>
        <w:instrText xml:space="preserve"> </w:instrText>
      </w:r>
      <w:r>
        <w:fldChar w:fldCharType="separate"/>
      </w:r>
      <w:r>
        <w:rPr>
          <w:rFonts w:hint="eastAsia"/>
        </w:rPr>
        <w:t xml:space="preserve">图 </w:t>
      </w:r>
      <w:r>
        <w:t>38</w:t>
      </w:r>
      <w:r>
        <w:fldChar w:fldCharType="end"/>
      </w:r>
      <w:r>
        <w:rPr>
          <w:rFonts w:hint="eastAsia"/>
        </w:rPr>
        <w:t>所示，各真菌检测项目中，人均周检测量多在0-</w:t>
      </w:r>
      <w:r>
        <w:t>20</w:t>
      </w:r>
      <w:r>
        <w:rPr>
          <w:rFonts w:hint="eastAsia"/>
        </w:rPr>
        <w:t>件之间；除真菌培养外，其他检测项目每周人均检测量超过5</w:t>
      </w:r>
      <w:r>
        <w:t>0</w:t>
      </w:r>
      <w:r>
        <w:rPr>
          <w:rFonts w:hint="eastAsia"/>
        </w:rPr>
        <w:t>件的医院比例均低于1</w:t>
      </w:r>
      <w:r>
        <w:t>2</w:t>
      </w:r>
      <w:r>
        <w:rPr>
          <w:rFonts w:hint="eastAsia"/>
        </w:rPr>
        <w:t>%。该结果表明，从人均周检测量角度推断，绝大多数医院的人均真菌检测工作负荷在合理范围内。然而，由于此数据是根据能够独立进行真菌检测的人员数量估算得出，故而不排除在实际工作中因全职从事真菌检测的人数较低而导致实际工作量远高于此数据的可能性。</w:t>
      </w:r>
    </w:p>
    <w:p>
      <w:pPr>
        <w:ind w:firstLine="0"/>
        <w:jc w:val="center"/>
      </w:pPr>
      <w:r>
        <w:drawing>
          <wp:inline distT="0" distB="0" distL="0" distR="0">
            <wp:extent cx="5476875"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4">
                      <a:extLst>
                        <a:ext uri="{28A0092B-C50C-407E-A947-70E740481C1C}">
                          <a14:useLocalDpi xmlns:a14="http://schemas.microsoft.com/office/drawing/2010/main" val="0"/>
                        </a:ext>
                      </a:extLst>
                    </a:blip>
                    <a:srcRect t="8117" b="1777"/>
                    <a:stretch>
                      <a:fillRect/>
                    </a:stretch>
                  </pic:blipFill>
                  <pic:spPr>
                    <a:xfrm>
                      <a:off x="0" y="0"/>
                      <a:ext cx="5533865" cy="2040150"/>
                    </a:xfrm>
                    <a:prstGeom prst="rect">
                      <a:avLst/>
                    </a:prstGeom>
                    <a:noFill/>
                    <a:ln>
                      <a:noFill/>
                    </a:ln>
                  </pic:spPr>
                </pic:pic>
              </a:graphicData>
            </a:graphic>
          </wp:inline>
        </w:drawing>
      </w:r>
    </w:p>
    <w:p>
      <w:pPr>
        <w:pStyle w:val="6"/>
      </w:pPr>
      <w:bookmarkStart w:id="90" w:name="_Ref518577601"/>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38</w:t>
      </w:r>
      <w:r>
        <w:fldChar w:fldCharType="end"/>
      </w:r>
      <w:bookmarkEnd w:id="90"/>
      <w:r>
        <w:t xml:space="preserve">   </w:t>
      </w:r>
      <w:r>
        <w:rPr>
          <w:rFonts w:hint="eastAsia"/>
        </w:rPr>
        <w:t>各项目人均周检测样本量（N</w:t>
      </w:r>
      <w:r>
        <w:t>=339</w:t>
      </w:r>
      <w:r>
        <w:rPr>
          <w:rFonts w:hint="eastAsia"/>
        </w:rPr>
        <w:t>）</w:t>
      </w:r>
    </w:p>
    <w:p>
      <w:r>
        <w:rPr>
          <w:rFonts w:hint="eastAsia"/>
        </w:rPr>
        <w:t>本次调查问卷并未涉及人员培训方面，但Chin</w:t>
      </w:r>
      <w:r>
        <w:t>damporn</w:t>
      </w:r>
      <w:r>
        <w:rPr>
          <w:rFonts w:hint="eastAsia"/>
        </w:rPr>
        <w:t xml:space="preserve">等人于2016年开展的亚洲调查显示 </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，抽样的</w:t>
      </w:r>
      <w:r>
        <w:t>71</w:t>
      </w:r>
      <w:r>
        <w:rPr>
          <w:rFonts w:hint="eastAsia"/>
        </w:rPr>
        <w:t>家中国医院中除</w:t>
      </w:r>
      <w:r>
        <w:t>65</w:t>
      </w:r>
      <w:r>
        <w:rPr>
          <w:rFonts w:hint="eastAsia"/>
        </w:rPr>
        <w:t>%的医院有开展定期或不定期的员工培训外，其余三分之一的医院不开展任何形式的真菌检测培训。由此可见，目前我国真菌从业人员的培训力度尚有待加强。</w:t>
      </w:r>
    </w:p>
    <w:p>
      <w:r>
        <w:rPr>
          <w:rFonts w:hint="eastAsia"/>
        </w:rPr>
        <w:t>综上所述，从检测人员与床位数的比例上看，三甲医院检验科微生物组尤其是真菌检测组的人员配备不足。虽然如此，从人均周检测量上看，真菌检测人员的工作负荷在合理范围内，尚不存在真菌检测人员极度短缺的现象。但考虑到实际工作中，多数真菌检测人员并非全职从事真菌检测，且根据专家组反映，能进行真菌检测的人员中有能力从事较复杂的丝状真菌检测等工作的技术人员有限，因而三甲医院仍应考虑逐步提高从业人员数量，加强专业培训力度，以满足日益增长的检测需求。</w:t>
      </w:r>
    </w:p>
    <w:p/>
    <w:p>
      <w:pPr>
        <w:pStyle w:val="4"/>
      </w:pPr>
      <w:bookmarkStart w:id="91" w:name="_Toc519069713"/>
      <w:r>
        <w:rPr>
          <w:rFonts w:hint="eastAsia"/>
        </w:rPr>
        <w:t>真菌鉴定开展现状</w:t>
      </w:r>
      <w:bookmarkEnd w:id="91"/>
    </w:p>
    <w:p>
      <w:r>
        <w:rPr>
          <w:rFonts w:hint="eastAsia"/>
        </w:rPr>
        <w:t>在真菌检测与鉴定方面，此次调研显示，目前三甲医院的自动化程度较高，7</w:t>
      </w:r>
      <w:r>
        <w:t>2</w:t>
      </w:r>
      <w:r>
        <w:rPr>
          <w:rFonts w:hint="eastAsia"/>
        </w:rPr>
        <w:t>%的医院都有能力在本院利用全自动鉴定仪开展酵母菌鉴定，有效地降低了对检测人员操作经验的依赖性，提高了检测效率及准确度。但相比而言，MALDI</w:t>
      </w:r>
      <w:r>
        <w:t>-TOF</w:t>
      </w:r>
      <w:r>
        <w:rPr>
          <w:rFonts w:hint="eastAsia"/>
        </w:rPr>
        <w:t>质谱、测序等快速鉴定手段在中国三甲医院中的普及率仍偏低。</w:t>
      </w:r>
    </w:p>
    <w:p>
      <w:r>
        <w:rPr>
          <w:rFonts w:hint="eastAsia"/>
        </w:rPr>
        <w:t>MALDI</w:t>
      </w:r>
      <w:r>
        <w:t>-TOF</w:t>
      </w:r>
      <w:r>
        <w:rPr>
          <w:rFonts w:hint="eastAsia"/>
        </w:rPr>
        <w:t>质谱是近年来发展起来的一种快速、高通量的新型真菌检测手段。与其他鉴别方法相比，质谱方法所需真菌量少，且检测耗时短，可在较短时间内获取鉴定结果。而且，质谱技术具有高灵敏度的特点，依托于建立好的已知菌种数据库，质谱仪能够准确地对临床样本进行分型。王欢等利用质谱仪对临床真菌菌株进行鉴定的研究结果显示，9</w:t>
      </w:r>
      <w:r>
        <w:t>8.7%（</w:t>
      </w:r>
      <w:r>
        <w:rPr>
          <w:rFonts w:hint="eastAsia"/>
        </w:rPr>
        <w:t>224/227</w:t>
      </w:r>
      <w:r>
        <w:t>）</w:t>
      </w:r>
      <w:r>
        <w:rPr>
          <w:rFonts w:hint="eastAsia"/>
        </w:rPr>
        <w:t>的酵母菌株可达属水平，90.</w:t>
      </w:r>
      <w:r>
        <w:t>31%（</w:t>
      </w:r>
      <w:r>
        <w:rPr>
          <w:rFonts w:hint="eastAsia"/>
        </w:rPr>
        <w:t>205/227</w:t>
      </w:r>
      <w:r>
        <w:t>）</w:t>
      </w:r>
      <w:r>
        <w:rPr>
          <w:rFonts w:hint="eastAsia"/>
        </w:rPr>
        <w:t xml:space="preserve">可达种水平 </w:t>
      </w:r>
      <w:r>
        <w:fldChar w:fldCharType="begin"/>
      </w:r>
      <w:r>
        <w:rPr>
          <w:rFonts w:hint="eastAsia"/>
        </w:rPr>
        <w:instrText xml:space="preserve"> ADDIN EN.CITE &lt;EndNote&gt;&lt;Cite&gt;&lt;Author&gt;王欢&lt;/Author&gt;&lt;Year&gt;2015&lt;/Year&gt;&lt;RecNum&gt;13&lt;/RecNum&gt;&lt;DisplayText&gt;[4]&lt;/DisplayText&gt;&lt;record&gt;&lt;rec-number&gt;13&lt;/rec-number&gt;&lt;foreign-keys&gt;&lt;key app="EN" db-id="wpsw5p5parwd99e5z2sp05alf9x5vz9z520s" timestamp="1530842065"&gt;13&lt;/key&gt;&lt;key app="ENWeb" db-id=""&gt;0&lt;/key&gt;&lt;/foreign-keys&gt;&lt;ref-type name="Journal Article"&gt;17&lt;/ref-type&gt;&lt;contributors&gt;&lt;authors&gt;&lt;author&gt;&lt;style face="normal" font="default" charset="134" size="100%"&gt;王欢&lt;/style&gt;&lt;/author&gt;&lt;author&gt;&lt;style face="normal" font="default" charset="134" size="100%"&gt;贾天野&lt;/style&gt;&lt;/author&gt;&lt;author&gt;&lt;style face="normal" font="default" charset="134" size="100%"&gt;鲍春梅&lt;/style&gt;&lt;/author&gt;&lt;author&gt;&lt;style face="normal" font="default" charset="134" size="100%"&gt;张成龙&lt;/style&gt;&lt;/author&gt;&lt;author&gt;&lt;style face="normal" font="default" charset="134" size="100%"&gt;张鞠玲&lt;/style&gt;&lt;/author&gt;&lt;author&gt;&lt;style face="normal" font="default" charset="134" size="100%"&gt;崔恩博&lt;/style&gt;&lt;/author&gt;&lt;author&gt;&lt;style face="normal" font="default" charset="134" size="100%"&gt;陈素明&lt;/style&gt;&lt;/author&gt;&lt;author&gt;&lt;style face="normal" font="default" charset="134" size="100%"&gt;徐东平&lt;/style&gt;&lt;/author&gt;&lt;author&gt;&lt;style face="normal" font="default" charset="134" size="100%"&gt;曲芬&lt;/style&gt;&lt;/author&gt;&lt;/authors&gt;&lt;/contributors&gt;&lt;titles&gt;&lt;title&gt;&lt;style face="normal" font="default" charset="134" size="100%"&gt;质谱仪在真菌鉴定中的应用与评价&lt;/style&gt;&lt;/title&gt;&lt;secondary-title&gt;&lt;style face="normal" font="default" charset="134" size="100%"&gt;传染病信息&lt;/style&gt;&lt;/secondary-title&gt;&lt;/titles&gt;&lt;periodical&gt;&lt;full-title&gt;传染病信息&lt;/full-title&gt;&lt;/periodical&gt;&lt;pages&gt;210-214&lt;/pages&gt;&lt;volume&gt;28&lt;/volume&gt;&lt;nu</w:instrText>
      </w:r>
      <w:r>
        <w:instrText xml:space="preserve">mber&gt;4&lt;/number&gt;&lt;dates&gt;&lt;year&gt;2015&lt;/year&gt;&lt;/dates&gt;&lt;urls&gt;&lt;/urls&gt;&lt;/record&gt;&lt;/Cite&gt;&lt;/EndNote&gt;</w:instrText>
      </w:r>
      <w:r>
        <w:fldChar w:fldCharType="separate"/>
      </w:r>
      <w:r>
        <w:t>[4]</w:t>
      </w:r>
      <w:r>
        <w:fldChar w:fldCharType="end"/>
      </w:r>
      <w:r>
        <w:rPr>
          <w:rFonts w:hint="eastAsia"/>
        </w:rPr>
        <w:t>。在此基础上，质谱也可对部分复合群菌种进行准确的种内分型。Quile</w:t>
      </w:r>
      <w:r>
        <w:t>s-Melero</w:t>
      </w:r>
      <w:r>
        <w:rPr>
          <w:rFonts w:hint="eastAsia"/>
        </w:rPr>
        <w:t>等对77株临床分离的近平滑念珠菌复合群进行质谱分型，并用测序方法进行验证，结果显示质谱的准确率达100%</w:t>
      </w:r>
      <w:r>
        <w:t xml:space="preserve"> </w:t>
      </w:r>
      <w:r>
        <w:rPr>
          <w:rFonts w:hint="eastAsia"/>
        </w:rPr>
        <w:t>（7</w:t>
      </w:r>
      <w:r>
        <w:t>1/71</w:t>
      </w:r>
      <w:r>
        <w:rPr>
          <w:rFonts w:hint="eastAsia"/>
        </w:rPr>
        <w:t>）</w:t>
      </w:r>
      <w:r>
        <w:t xml:space="preserve"> </w:t>
      </w:r>
      <w:r>
        <w:fldChar w:fldCharType="begin"/>
      </w:r>
      <w:r>
        <w:instrText xml:space="preserve"> ADDIN EN.CITE &lt;EndNote&gt;&lt;Cite&gt;&lt;Author&gt;Quiles-Melero&lt;/Author&gt;&lt;Year&gt;2012&lt;/Year&gt;&lt;RecNum&gt;14&lt;/RecNum&gt;&lt;DisplayText&gt;[5]&lt;/DisplayText&gt;&lt;record&gt;&lt;rec-number&gt;14&lt;/rec-number&gt;&lt;foreign-keys&gt;&lt;key app="EN" db-id="wpsw5p5parwd99e5z2sp05alf9x5vz9z520s" timestamp="1530842584"&gt;14&lt;/key&gt;&lt;key app="ENWeb" db-id=""&gt;0&lt;/key&gt;&lt;/foreign-keys&gt;&lt;ref-type name="Journal Article"&gt;17&lt;/ref-type&gt;&lt;contributors&gt;&lt;authors&gt;&lt;author&gt;Quiles-Melero, I.&lt;/author&gt;&lt;author&gt;Garcia-Rodriguez, J.&lt;/author&gt;&lt;author&gt;Gomez-Lopez, A.&lt;/author&gt;&lt;author&gt;Mingorance, J.&lt;/author&gt;&lt;/authors&gt;&lt;/contributors&gt;&lt;auth-address&gt;Servicio de Microbiologia, Hospital Universitario La Paz, IdiPAZ, Paseo de La Castellana 261, Madrid, Spain.&lt;/auth-address&gt;&lt;titles&gt;&lt;title&gt;Evaluation of matrix-assisted laser desorption/ionisation time-of-flight (MALDI-TOF) mass spectrometry for identification of Candida parapsilosis, C. orthopsilosis and C. metapsilosis&lt;/title&gt;&lt;secondary-title&gt;Eur J Clin Microbiol Infect Dis&lt;/secondary-title&gt;&lt;/titles&gt;&lt;periodical&gt;&lt;full-title&gt;Eur J Clin Microbiol Infect Dis&lt;/full-title&gt;&lt;/periodical&gt;&lt;pages&gt;67-71&lt;/pages&gt;&lt;volume&gt;31&lt;/volume&gt;&lt;number&gt;1&lt;/number&gt;&lt;edition&gt;2011/05/07&lt;/edition&gt;&lt;keywords&gt;&lt;keyword&gt;Base Sequence&lt;/keyword&gt;&lt;keyword&gt;Candida/*classification/genetics/*isolation &amp;amp; purification&lt;/keyword&gt;&lt;keyword&gt;DNA, Bacterial/chemistry/*genetics&lt;/keyword&gt;&lt;keyword&gt;DNA, Ribosomal Spacer/chemistry/genetics&lt;/keyword&gt;&lt;keyword&gt;Genes, rRNA&lt;/keyword&gt;&lt;keyword&gt;Sequence Alignment&lt;/keyword&gt;&lt;keyword&gt;Sequence Analysis, DNA&lt;/keyword&gt;&lt;keyword&gt;Spectrometry, Mass, Matrix-Assisted Laser Desorption-Ionization/*methods&lt;/keyword&gt;&lt;/keywords&gt;&lt;dates&gt;&lt;year&gt;2012&lt;/year&gt;&lt;pub-dates&gt;&lt;date&gt;Jan&lt;/date&gt;&lt;/pub-dates&gt;&lt;/dates&gt;&lt;isbn&gt;1435-4373 (Electronic)&amp;#xD;0934-9723 (Linking)&lt;/isbn&gt;&lt;accession-num&gt;21547602&lt;/accession-num&gt;&lt;urls&gt;&lt;related-urls&gt;&lt;url&gt;https://www.ncbi.nlm.nih.gov/pubmed/21547602&lt;/url&gt;&lt;/related-urls&gt;&lt;/urls&gt;&lt;electronic-resource-num&gt;10.1007/s10096-011-1277-z&lt;/electronic-resource-num&gt;&lt;/record&gt;&lt;/Cite&gt;&lt;/EndNote&gt;</w:instrText>
      </w:r>
      <w:r>
        <w:fldChar w:fldCharType="separate"/>
      </w:r>
      <w:r>
        <w:t>[5]</w:t>
      </w:r>
      <w:r>
        <w:fldChar w:fldCharType="end"/>
      </w:r>
      <w:r>
        <w:rPr>
          <w:rFonts w:hint="eastAsia"/>
        </w:rPr>
        <w:t>。由于三个亚种间对药物（特别是棘白菌素抗真菌药）的敏感性存在差异，因而进行准确的种内分型可以更好地指导临床用药。此外，在丝状真菌方面，质谱仪对曲霉菌、青霉菌、毛癣菌等也有较好的鉴定效果，精准度高于传统的形态学鉴定法；尤其在非曲霉丝状真菌的鉴定方面，准确度比形态学鉴定法高出3</w:t>
      </w:r>
      <w:r>
        <w:t>1</w:t>
      </w:r>
      <w:r>
        <w:rPr>
          <w:rFonts w:hint="eastAsia"/>
        </w:rPr>
        <w:t>-</w:t>
      </w:r>
      <w:r>
        <w:t>61</w:t>
      </w:r>
      <w:r>
        <w:rPr>
          <w:rFonts w:hint="eastAsia"/>
        </w:rPr>
        <w:t xml:space="preserve">% </w:t>
      </w:r>
      <w:r>
        <w:fldChar w:fldCharType="begin">
          <w:fldData xml:space="preserve">PEVuZE5vdGU+PENpdGU+PEF1dGhvcj5SYW5xdWU8L0F1dGhvcj48WWVhcj4yMDE0PC9ZZWFyPjxS
ZWNOdW0+MTU8L1JlY051bT48RGlzcGxheVRleHQ+WzZdPC9EaXNwbGF5VGV4dD48cmVjb3JkPjxy
ZWMtbnVtYmVyPjE1PC9yZWMtbnVtYmVyPjxmb3JlaWduLWtleXM+PGtleSBhcHA9IkVOIiBkYi1p
ZD0id3BzdzVwNXBhcndkOTllNXoyc3AwNWFsZjl4NXZ6OXo1MjBzIiB0aW1lc3RhbXA9IjE1MzA4
NDMwMTEiPjE1PC9rZXk+PGtleSBhcHA9IkVOV2ViIiBkYi1pZD0iIj4wPC9rZXk+PC9mb3JlaWdu
LWtleXM+PHJlZi10eXBlIG5hbWU9IkpvdXJuYWwgQXJ0aWNsZSI+MTc8L3JlZi10eXBlPjxjb250
cmlidXRvcnM+PGF1dGhvcnM+PGF1dGhvcj5SYW5xdWUsIFMuPC9hdXRob3I+PGF1dGhvcj5Ob3Jt
YW5kLCBBLiBDLjwvYXV0aG9yPjxhdXRob3I+Q2Fzc2FnbmUsIEMuPC9hdXRob3I+PGF1dGhvcj5N
dXJhdCwgSi4gQi48L2F1dGhvcj48YXV0aG9yPkJvdXJnZW9pcywgTi48L2F1dGhvcj48YXV0aG9y
PkRhbGxlLCBGLjwvYXV0aG9yPjxhdXRob3I+R2FyaS1Ub3Vzc2FpbnQsIE0uPC9hdXRob3I+PGF1
dGhvcj5Gb3VycXVldCwgUC48L2F1dGhvcj48YXV0aG9yPkhlbmRyaWNreCwgTS48L2F1dGhvcj48
YXV0aG9yPlBpYXJyb3V4LCBSLjwvYXV0aG9yPjwvYXV0aG9ycz48L2NvbnRyaWJ1dG9ycz48YXV0
aC1hZGRyZXNzPlVNUiBNRDMsIEFpeC1NYXJzZWlsbGUgVW5pdmVyc2l0ZSwgTWFyc2VpbGxlLCBG
cmFuY2U7IExhYm9yYXRvaXJlIGRlIFBhcmFzaXRvbG9naWUtTXljb2xvZ2llLCBBUEhNIFRpbW9u
ZSwgTWFyc2VpbGxlLCBGcmFuY2UuPC9hdXRoLWFkZHJlc3M+PHRpdGxlcz48dGl0bGU+TUFMREkt
VE9GIG1hc3Mgc3BlY3Ryb21ldHJ5IGlkZW50aWZpY2F0aW9uIG9mIGZpbGFtZW50b3VzIGZ1bmdp
IGluIHRoZSBjbGluaWNhbCBsYWJvcmF0b3J5PC90aXRsZT48c2Vjb25kYXJ5LXRpdGxlPk15Y29z
ZXM8L3NlY29uZGFyeS10aXRsZT48L3RpdGxlcz48cGVyaW9kaWNhbD48ZnVsbC10aXRsZT5NeWNv
c2VzPC9mdWxsLXRpdGxlPjwvcGVyaW9kaWNhbD48cGFnZXM+MTM1LTQwPC9wYWdlcz48dm9sdW1l
PjU3PC92b2x1bWU+PG51bWJlcj4zPC9udW1iZXI+PGVkaXRpb24+MjAxMy8wNy8zMTwvZWRpdGlv
bj48a2V5d29yZHM+PGtleXdvcmQ+QXJ0aHJvZGVybWF0YWNlYWUvKmlzb2xhdGlvbiAmYW1wOyBw
dXJpZmljYXRpb248L2tleXdvcmQ+PGtleXdvcmQ+RnJhbmNlPC9rZXl3b3JkPjxrZXl3b3JkPkZ1
bmdpLypjbGFzc2lmaWNhdGlvbi8qaXNvbGF0aW9uICZhbXA7IHB1cmlmaWNhdGlvbjwva2V5d29y
ZD48a2V5d29yZD5Ib3NwaXRhbHMsIFVuaXZlcnNpdHk8L2tleXdvcmQ+PGtleXdvcmQ+SHVtYW5z
PC9rZXl3b3JkPjxrZXl3b3JkPkxvZ2lzdGljIE1vZGVsczwva2V5d29yZD48a2V5d29yZD5Qcm9z
cGVjdGl2ZSBTdHVkaWVzPC9rZXl3b3JkPjxrZXl3b3JkPlNlcXVlbmNlIEFuYWx5c2lzLCBETkE8
L2tleXdvcmQ+PGtleXdvcmQ+U3BlY3Ryb21ldHJ5LCBNYXNzLCBNYXRyaXgtQXNzaXN0ZWQgTGFz
ZXIgRGVzb3JwdGlvbi1Jb25pemF0aW9uPC9rZXl3b3JkPjxrZXl3b3JkPk1hbGRpLXRvZjwva2V5
d29yZD48a2V5d29yZD5maWxhbWVudG91cyBmdW5naTwva2V5d29yZD48a2V5d29yZD5pZGVudGlm
aWNhdGlvbjwva2V5d29yZD48a2V5d29yZD5yb3V0aW5lIGxhYm9yYXRvcnk8L2tleXdvcmQ+PC9r
ZXl3b3Jkcz48ZGF0ZXM+PHllYXI+MjAxNDwveWVhcj48cHViLWRhdGVzPjxkYXRlPk1hcjwvZGF0
ZT48L3B1Yi1kYXRlcz48L2RhdGVzPjxpc2JuPjE0MzktMDUwNyAoRWxlY3Ryb25pYykmI3hEOzA5
MzMtNzQwNyAoTGlua2luZyk8L2lzYm4+PGFjY2Vzc2lvbi1udW0+MjM4OTUxMTQ8L2FjY2Vzc2lv
bi1udW0+PHVybHM+PHJlbGF0ZWQtdXJscz48dXJsPmh0dHBzOi8vd3d3Lm5jYmkubmxtLm5paC5n
b3YvcHVibWVkLzIzODk1MTE0PC91cmw+PC9yZWxhdGVkLXVybHM+PC91cmxzPjxlbGVjdHJvbmlj
LXJlc291cmNlLW51bT4xMC4xMTExL215Yy4xMjExNTwvZWxlY3Ryb25pYy1yZXNvdXJjZS1udW0+
PC9yZWNvcmQ+PC9DaXRlPjwvRW5kTm90ZT5AAA==
</w:fldData>
        </w:fldChar>
      </w:r>
      <w:r>
        <w:instrText xml:space="preserve"> ADDIN EN.CITE </w:instrText>
      </w:r>
      <w:r>
        <w:fldChar w:fldCharType="begin">
          <w:fldData xml:space="preserve">PEVuZE5vdGU+PENpdGU+PEF1dGhvcj5SYW5xdWU8L0F1dGhvcj48WWVhcj4yMDE0PC9ZZWFyPjxS
ZWNOdW0+MTU8L1JlY051bT48RGlzcGxheVRleHQ+WzZdPC9EaXNwbGF5VGV4dD48cmVjb3JkPjxy
ZWMtbnVtYmVyPjE1PC9yZWMtbnVtYmVyPjxmb3JlaWduLWtleXM+PGtleSBhcHA9IkVOIiBkYi1p
ZD0id3BzdzVwNXBhcndkOTllNXoyc3AwNWFsZjl4NXZ6OXo1MjBzIiB0aW1lc3RhbXA9IjE1MzA4
NDMwMTEiPjE1PC9rZXk+PGtleSBhcHA9IkVOV2ViIiBkYi1pZD0iIj4wPC9rZXk+PC9mb3JlaWdu
LWtleXM+PHJlZi10eXBlIG5hbWU9IkpvdXJuYWwgQXJ0aWNsZSI+MTc8L3JlZi10eXBlPjxjb250
cmlidXRvcnM+PGF1dGhvcnM+PGF1dGhvcj5SYW5xdWUsIFMuPC9hdXRob3I+PGF1dGhvcj5Ob3Jt
YW5kLCBBLiBDLjwvYXV0aG9yPjxhdXRob3I+Q2Fzc2FnbmUsIEMuPC9hdXRob3I+PGF1dGhvcj5N
dXJhdCwgSi4gQi48L2F1dGhvcj48YXV0aG9yPkJvdXJnZW9pcywgTi48L2F1dGhvcj48YXV0aG9y
PkRhbGxlLCBGLjwvYXV0aG9yPjxhdXRob3I+R2FyaS1Ub3Vzc2FpbnQsIE0uPC9hdXRob3I+PGF1
dGhvcj5Gb3VycXVldCwgUC48L2F1dGhvcj48YXV0aG9yPkhlbmRyaWNreCwgTS48L2F1dGhvcj48
YXV0aG9yPlBpYXJyb3V4LCBSLjwvYXV0aG9yPjwvYXV0aG9ycz48L2NvbnRyaWJ1dG9ycz48YXV0
aC1hZGRyZXNzPlVNUiBNRDMsIEFpeC1NYXJzZWlsbGUgVW5pdmVyc2l0ZSwgTWFyc2VpbGxlLCBG
cmFuY2U7IExhYm9yYXRvaXJlIGRlIFBhcmFzaXRvbG9naWUtTXljb2xvZ2llLCBBUEhNIFRpbW9u
ZSwgTWFyc2VpbGxlLCBGcmFuY2UuPC9hdXRoLWFkZHJlc3M+PHRpdGxlcz48dGl0bGU+TUFMREkt
VE9GIG1hc3Mgc3BlY3Ryb21ldHJ5IGlkZW50aWZpY2F0aW9uIG9mIGZpbGFtZW50b3VzIGZ1bmdp
IGluIHRoZSBjbGluaWNhbCBsYWJvcmF0b3J5PC90aXRsZT48c2Vjb25kYXJ5LXRpdGxlPk15Y29z
ZXM8L3NlY29uZGFyeS10aXRsZT48L3RpdGxlcz48cGVyaW9kaWNhbD48ZnVsbC10aXRsZT5NeWNv
c2VzPC9mdWxsLXRpdGxlPjwvcGVyaW9kaWNhbD48cGFnZXM+MTM1LTQwPC9wYWdlcz48dm9sdW1l
PjU3PC92b2x1bWU+PG51bWJlcj4zPC9udW1iZXI+PGVkaXRpb24+MjAxMy8wNy8zMTwvZWRpdGlv
bj48a2V5d29yZHM+PGtleXdvcmQ+QXJ0aHJvZGVybWF0YWNlYWUvKmlzb2xhdGlvbiAmYW1wOyBw
dXJpZmljYXRpb248L2tleXdvcmQ+PGtleXdvcmQ+RnJhbmNlPC9rZXl3b3JkPjxrZXl3b3JkPkZ1
bmdpLypjbGFzc2lmaWNhdGlvbi8qaXNvbGF0aW9uICZhbXA7IHB1cmlmaWNhdGlvbjwva2V5d29y
ZD48a2V5d29yZD5Ib3NwaXRhbHMsIFVuaXZlcnNpdHk8L2tleXdvcmQ+PGtleXdvcmQ+SHVtYW5z
PC9rZXl3b3JkPjxrZXl3b3JkPkxvZ2lzdGljIE1vZGVsczwva2V5d29yZD48a2V5d29yZD5Qcm9z
cGVjdGl2ZSBTdHVkaWVzPC9rZXl3b3JkPjxrZXl3b3JkPlNlcXVlbmNlIEFuYWx5c2lzLCBETkE8
L2tleXdvcmQ+PGtleXdvcmQ+U3BlY3Ryb21ldHJ5LCBNYXNzLCBNYXRyaXgtQXNzaXN0ZWQgTGFz
ZXIgRGVzb3JwdGlvbi1Jb25pemF0aW9uPC9rZXl3b3JkPjxrZXl3b3JkPk1hbGRpLXRvZjwva2V5
d29yZD48a2V5d29yZD5maWxhbWVudG91cyBmdW5naTwva2V5d29yZD48a2V5d29yZD5pZGVudGlm
aWNhdGlvbjwva2V5d29yZD48a2V5d29yZD5yb3V0aW5lIGxhYm9yYXRvcnk8L2tleXdvcmQ+PC9r
ZXl3b3Jkcz48ZGF0ZXM+PHllYXI+MjAxNDwveWVhcj48cHViLWRhdGVzPjxkYXRlPk1hcjwvZGF0
ZT48L3B1Yi1kYXRlcz48L2RhdGVzPjxpc2JuPjE0MzktMDUwNyAoRWxlY3Ryb25pYykmI3hEOzA5
MzMtNzQwNyAoTGlua2luZyk8L2lzYm4+PGFjY2Vzc2lvbi1udW0+MjM4OTUxMTQ8L2FjY2Vzc2lv
bi1udW0+PHVybHM+PHJlbGF0ZWQtdXJscz48dXJsPmh0dHBzOi8vd3d3Lm5jYmkubmxtLm5paC5n
b3YvcHVibWVkLzIzODk1MTE0PC91cmw+PC9yZWxhdGVkLXVybHM+PC91cmxzPjxlbGVjdHJvbmlj
LXJlc291cmNlLW51bT4xMC4xMTExL215Yy4xMjExNTwvZWxlY3Ryb25pYy1yZXNvdXJjZS1udW0+
PC9yZWNvcmQ+PC9DaXRlPjwvRW5kTm90ZT5AAA==
</w:fldData>
        </w:fldChar>
      </w:r>
      <w:r>
        <w:instrText xml:space="preserve"> ADDIN EN.CITE.DATA </w:instrText>
      </w:r>
      <w:r>
        <w:fldChar w:fldCharType="end"/>
      </w:r>
      <w:r>
        <w:fldChar w:fldCharType="separate"/>
      </w:r>
      <w:r>
        <w:t>[6]</w:t>
      </w:r>
      <w:r>
        <w:fldChar w:fldCharType="end"/>
      </w:r>
      <w:r>
        <w:rPr>
          <w:rFonts w:hint="eastAsia"/>
        </w:rPr>
        <w:t>。并且，随着质谱数据库图谱的逐步完善，MADLI</w:t>
      </w:r>
      <w:r>
        <w:t>-TOF</w:t>
      </w:r>
      <w:r>
        <w:rPr>
          <w:rFonts w:hint="eastAsia"/>
        </w:rPr>
        <w:t xml:space="preserve">对真菌鉴定分型的精准度将得到进一步提高 </w:t>
      </w:r>
      <w:r>
        <w:fldChar w:fldCharType="begin"/>
      </w:r>
      <w:r>
        <w:instrText xml:space="preserve"> ADDIN EN.CITE &lt;EndNote&gt;&lt;Cite&gt;&lt;Author&gt;Yang&lt;/Author&gt;&lt;Year&gt;2014&lt;/Year&gt;&lt;RecNum&gt;17&lt;/RecNum&gt;&lt;DisplayText&gt;[7]&lt;/DisplayText&gt;&lt;record&gt;&lt;rec-number&gt;17&lt;/rec-number&gt;&lt;foreign-keys&gt;&lt;key app="EN" db-id="wpsw5p5parwd99e5z2sp05alf9x5vz9z520s" timestamp="1530844548"&gt;17&lt;/key&gt;&lt;/foreign-keys&gt;&lt;ref-type name="Journal Article"&gt;17&lt;/ref-type&gt;&lt;contributors&gt;&lt;authors&gt;&lt;author&gt;Yang, S.&lt;/author&gt;&lt;author&gt;Jin, Y.&lt;/author&gt;&lt;author&gt;Zhao, G.&lt;/author&gt;&lt;author&gt;Liu, J.&lt;/author&gt;&lt;author&gt;Zhou, X.&lt;/author&gt;&lt;author&gt;Yang, J.&lt;/author&gt;&lt;author&gt;Wang, J.&lt;/author&gt;&lt;author&gt;Cui, Y.&lt;/author&gt;&lt;author&gt;Hu, X.&lt;/author&gt;&lt;author&gt;Li, Y.&lt;/author&gt;&lt;author&gt;Zhao, H.&lt;/author&gt;&lt;/authors&gt;&lt;/contributors&gt;&lt;auth-address&gt;Tianjin Key Laboratory for Biomarkers of Occupational and Environmental Hazard, Logistics University of Chinese People&amp;apos;s Armed Police Forces, Tianjin, China.&amp;#xD;Clinical Laboratory, Affiliated Hospital of Logistics University of Chinese People&amp;apos;s Armed Police Forces, Tianjin, China.&lt;/auth-address&gt;&lt;titles&gt;&lt;title&gt;Improvement of matrix-assisted laser desorption/ionization time-of-flight mass spectrometry for identification of clinically important Candida species&lt;/title&gt;&lt;secondary-title&gt;Clin Lab&lt;/secondary-title&gt;&lt;alt-title&gt;Clinical laboratory&lt;/alt-title&gt;&lt;/titles&gt;&lt;periodical&gt;&lt;full-title&gt;Clin Lab&lt;/full-title&gt;&lt;abbr-1&gt;Clinical laboratory&lt;/abbr-1&gt;&lt;/periodical&gt;&lt;alt-periodical&gt;&lt;full-title&gt;Clin Lab&lt;/full-title&gt;&lt;abbr-1&gt;Clinical laboratory&lt;/abbr-1&gt;&lt;/alt-periodical&gt;&lt;pages&gt;37-46&lt;/pages&gt;&lt;volume&gt;60&lt;/volume&gt;&lt;number&gt;1&lt;/number&gt;&lt;edition&gt;2014/03/08&lt;/edition&gt;&lt;keywords&gt;&lt;keyword&gt;Candida/classification/*isolation &amp;amp; purification&lt;/keyword&gt;&lt;keyword&gt;Cluster Analysis&lt;/keyword&gt;&lt;keyword&gt;Polymerase Chain Reaction&lt;/keyword&gt;&lt;keyword&gt;Species Specificity&lt;/keyword&gt;&lt;keyword&gt;Spectrometry, Mass, Matrix-Assisted Laser Desorption-Ionization/*methods&lt;/keyword&gt;&lt;/keywords&gt;&lt;dates&gt;&lt;year&gt;2014&lt;/year&gt;&lt;/dates&gt;&lt;isbn&gt;1433-6510 (Print)&amp;#xD;1433-6510&lt;/isbn&gt;&lt;accession-num&gt;24600973&lt;/accession-num&gt;&lt;urls&gt;&lt;/urls&gt;&lt;remote-database-provider&gt;NLM&lt;/remote-database-provider&gt;&lt;language&gt;eng&lt;/language&gt;&lt;/record&gt;&lt;/Cite&gt;&lt;/EndNote&gt;</w:instrText>
      </w:r>
      <w:r>
        <w:fldChar w:fldCharType="separate"/>
      </w:r>
      <w:r>
        <w:t>[7]</w:t>
      </w:r>
      <w:r>
        <w:fldChar w:fldCharType="end"/>
      </w:r>
      <w:r>
        <w:rPr>
          <w:rFonts w:hint="eastAsia"/>
        </w:rPr>
        <w:t>。</w:t>
      </w:r>
    </w:p>
    <w:p>
      <w:r>
        <w:rPr>
          <w:rFonts w:hint="eastAsia"/>
        </w:rPr>
        <w:t>Chi</w:t>
      </w:r>
      <w:r>
        <w:t>ndamporn</w:t>
      </w:r>
      <w:r>
        <w:rPr>
          <w:rFonts w:hint="eastAsia"/>
        </w:rPr>
        <w:t>等研究显示在新加坡和中国台湾地区，MALDI</w:t>
      </w:r>
      <w:r>
        <w:t>-TOF</w:t>
      </w:r>
      <w:r>
        <w:rPr>
          <w:rFonts w:hint="eastAsia"/>
        </w:rPr>
        <w:t>的普及率已经达到1</w:t>
      </w:r>
      <w:r>
        <w:t>00</w:t>
      </w:r>
      <w:r>
        <w:rPr>
          <w:rFonts w:hint="eastAsia"/>
        </w:rPr>
        <w:t>%（4/</w:t>
      </w:r>
      <w:r>
        <w:t>4</w:t>
      </w:r>
      <w:r>
        <w:rPr>
          <w:rFonts w:hint="eastAsia"/>
        </w:rPr>
        <w:t>）和5</w:t>
      </w:r>
      <w:r>
        <w:t>2.9</w:t>
      </w:r>
      <w:r>
        <w:rPr>
          <w:rFonts w:hint="eastAsia"/>
        </w:rPr>
        <w:t>%（9/</w:t>
      </w:r>
      <w:r>
        <w:t>17</w:t>
      </w:r>
      <w:r>
        <w:rPr>
          <w:rFonts w:hint="eastAsia"/>
        </w:rPr>
        <w:t>）</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，而此次调查显示目前我国三甲医院中MALDI</w:t>
      </w:r>
      <w:r>
        <w:t>-TOF</w:t>
      </w:r>
      <w:r>
        <w:rPr>
          <w:rFonts w:hint="eastAsia"/>
        </w:rPr>
        <w:t>普及率仅为30%左右，有待进一步提高。临床微生物实验室引入质谱仪进行细菌、真菌鉴定，虽然前期仪器的成本投入较高，但是后期样本的平均检测成本降低。T</w:t>
      </w:r>
      <w:r>
        <w:t>an</w:t>
      </w:r>
      <w:r>
        <w:rPr>
          <w:rFonts w:hint="eastAsia"/>
        </w:rPr>
        <w:t>等对MALDI</w:t>
      </w:r>
      <w:r>
        <w:t>-TOF</w:t>
      </w:r>
      <w:r>
        <w:rPr>
          <w:rFonts w:hint="eastAsia"/>
        </w:rPr>
        <w:t>的成本效益研究表明，临床微生物检测量大的医院引入质谱仪进行微生物鉴定可在1</w:t>
      </w:r>
      <w:r>
        <w:t>2</w:t>
      </w:r>
      <w:r>
        <w:rPr>
          <w:rFonts w:hint="eastAsia"/>
        </w:rPr>
        <w:t>个月内节省1</w:t>
      </w:r>
      <w:r>
        <w:t>0</w:t>
      </w:r>
      <w:r>
        <w:rPr>
          <w:rFonts w:hint="eastAsia"/>
        </w:rPr>
        <w:t>万美金的检测试剂开销及5</w:t>
      </w:r>
      <w:r>
        <w:t>7</w:t>
      </w:r>
      <w:r>
        <w:rPr>
          <w:rFonts w:hint="eastAsia"/>
        </w:rPr>
        <w:t xml:space="preserve">%的人力资源，具有绝对成本效益优势 </w:t>
      </w:r>
      <w:r>
        <w:fldChar w:fldCharType="begin">
          <w:fldData xml:space="preserve">PEVuZE5vdGU+PENpdGU+PEF1dGhvcj5UYW48L0F1dGhvcj48WWVhcj4yMDEyPC9ZZWFyPjxSZWNO
dW0+MTY8L1JlY051bT48RGlzcGxheVRleHQ+WzhdPC9EaXNwbGF5VGV4dD48cmVjb3JkPjxyZWMt
bnVtYmVyPjE2PC9yZWMtbnVtYmVyPjxmb3JlaWduLWtleXM+PGtleSBhcHA9IkVOIiBkYi1pZD0i
d3BzdzVwNXBhcndkOTllNXoyc3AwNWFsZjl4NXZ6OXo1MjBzIiB0aW1lc3RhbXA9IjE1MzA4NDQ0
NTQiPjE2PC9rZXk+PGtleSBhcHA9IkVOV2ViIiBkYi1pZD0iIj4wPC9rZXk+PC9mb3JlaWduLWtl
eXM+PHJlZi10eXBlIG5hbWU9IkpvdXJuYWwgQXJ0aWNsZSI+MTc8L3JlZi10eXBlPjxjb250cmli
dXRvcnM+PGF1dGhvcnM+PGF1dGhvcj5UYW4sIEsuIEUuPC9hdXRob3I+PGF1dGhvcj5FbGxpcywg
Qi4gQy48L2F1dGhvcj48YXV0aG9yPkxlZSwgUi48L2F1dGhvcj48YXV0aG9yPlN0YW1wZXIsIFAu
IEQuPC9hdXRob3I+PGF1dGhvcj5aaGFuZywgUy4gWC48L2F1dGhvcj48YXV0aG9yPkNhcnJvbGws
IEsuIEMuPC9hdXRob3I+PC9hdXRob3JzPjwvY29udHJpYnV0b3JzPjxhdXRoLWFkZHJlc3M+Sm9o
bnMgSG9wa2lucyBVbml2ZXJzaXR5IFNjaG9vbCBvZiBNZWRpY2luZSwgQmFsdGltb3JlLCBNRCwg
VVNBLjwvYXV0aC1hZGRyZXNzPjx0aXRsZXM+PHRpdGxlPlByb3NwZWN0aXZlIGV2YWx1YXRpb24g
b2YgYSBtYXRyaXgtYXNzaXN0ZWQgbGFzZXIgZGVzb3JwdGlvbiBpb25pemF0aW9uLXRpbWUgb2Yg
ZmxpZ2h0IG1hc3Mgc3BlY3Ryb21ldHJ5IHN5c3RlbSBpbiBhIGhvc3BpdGFsIGNsaW5pY2FsIG1p
Y3JvYmlvbG9neSBsYWJvcmF0b3J5IGZvciBpZGVudGlmaWNhdGlvbiBvZiBiYWN0ZXJpYSBhbmQg
eWVhc3RzOiBhIGJlbmNoLWJ5LWJlbmNoIHN0dWR5IGZvciBhc3Nlc3NpbmcgdGhlIGltcGFjdCBv
biB0aW1lIHRvIGlkZW50aWZpY2F0aW9uIGFuZCBjb3N0LWVmZmVjdGl2ZW5lc3M8L3RpdGxlPjxz
ZWNvbmRhcnktdGl0bGU+SiBDbGluIE1pY3JvYmlvbDwvc2Vjb25kYXJ5LXRpdGxlPjwvdGl0bGVz
PjxwZXJpb2RpY2FsPjxmdWxsLXRpdGxlPkogQ2xpbiBNaWNyb2Jpb2w8L2Z1bGwtdGl0bGU+PC9w
ZXJpb2RpY2FsPjxwYWdlcz4zMzAxLTg8L3BhZ2VzPjx2b2x1bWU+NTA8L3ZvbHVtZT48bnVtYmVy
PjEwPC9udW1iZXI+PGVkaXRpb24+MjAxMi8wOC8wMzwvZWRpdGlvbj48a2V5d29yZHM+PGtleXdv
cmQ+QmFjdGVyaWEvY2hlbWlzdHJ5L2NsYXNzaWZpY2F0aW9uLyppc29sYXRpb24gJmFtcDsgcHVy
aWZpY2F0aW9uPC9rZXl3b3JkPjxrZXl3b3JkPkJhY3RlcmlhbCBJbmZlY3Rpb25zLypkaWFnbm9z
aXMvbWljcm9iaW9sb2d5PC9rZXl3b3JkPjxrZXl3b3JkPkNvc3QtQmVuZWZpdCBBbmFseXNpczwv
a2V5d29yZD48a2V5d29yZD5GdW5naS9jaGVtaXN0cnkvY2xhc3NpZmljYXRpb24vKmlzb2xhdGlv
biAmYW1wOyBwdXJpZmljYXRpb248L2tleXdvcmQ+PGtleXdvcmQ+SHVtYW5zPC9rZXl3b3JkPjxr
ZXl3b3JkPk1pY3JvYmlvbG9naWNhbCBUZWNobmlxdWVzL2Vjb25vbWljcy8qbWV0aG9kczwva2V5
d29yZD48a2V5d29yZD5Nb2xlY3VsYXIgRGlhZ25vc3RpYyBUZWNobmlxdWVzL2Vjb25vbWljcy8q
bWV0aG9kczwva2V5d29yZD48a2V5d29yZD5NeWNvc2VzLypkaWFnbm9zaXMvbWljcm9iaW9sb2d5
PC9rZXl3b3JkPjxrZXl3b3JkPlNwZWN0cm9tZXRyeSwgTWFzcywgTWF0cml4LUFzc2lzdGVkIExh
c2VyPC9rZXl3b3JkPjxrZXl3b3JkPkRlc29ycHRpb24tSW9uaXphdGlvbi9lY29ub21pY3MvKm1l
dGhvZHM8L2tleXdvcmQ+PGtleXdvcmQ+VGltZSBGYWN0b3JzPC9rZXl3b3JkPjwva2V5d29yZHM+
PGRhdGVzPjx5ZWFyPjIwMTI8L3llYXI+PHB1Yi1kYXRlcz48ZGF0ZT5PY3Q8L2RhdGU+PC9wdWIt
ZGF0ZXM+PC9kYXRlcz48aXNibj4xMDk4LTY2MFggKEVsZWN0cm9uaWMpJiN4RDswMDk1LTExMzcg
KExpbmtpbmcpPC9pc2JuPjxhY2Nlc3Npb24tbnVtPjIyODU1NTEwPC9hY2Nlc3Npb24tbnVtPjx1
cmxzPjxyZWxhdGVkLXVybHM+PHVybD5odHRwczovL3d3dy5uY2JpLm5sbS5uaWguZ292L3B1Ym1l
ZC8yMjg1NTUxMDwvdXJsPjwvcmVsYXRlZC11cmxzPjwvdXJscz48Y3VzdG9tMj5QTUMzNDU3NDQy
PC9jdXN0b20yPjxlbGVjdHJvbmljLXJlc291cmNlLW51bT4xMC4xMTI4L0pDTS4wMTQwNS0xMjwv
ZWxlY3Ryb25pYy1yZXNvdXJjZS1udW0+PC9yZWNvcmQ+PC9DaXRlPjwvRW5kTm90ZT5AAA==
</w:fldData>
        </w:fldChar>
      </w:r>
      <w:r>
        <w:instrText xml:space="preserve"> ADDIN EN.CITE </w:instrText>
      </w:r>
      <w:r>
        <w:fldChar w:fldCharType="begin">
          <w:fldData xml:space="preserve">PEVuZE5vdGU+PENpdGU+PEF1dGhvcj5UYW48L0F1dGhvcj48WWVhcj4yMDEyPC9ZZWFyPjxSZWNO
dW0+MTY8L1JlY051bT48RGlzcGxheVRleHQ+WzhdPC9EaXNwbGF5VGV4dD48cmVjb3JkPjxyZWMt
bnVtYmVyPjE2PC9yZWMtbnVtYmVyPjxmb3JlaWduLWtleXM+PGtleSBhcHA9IkVOIiBkYi1pZD0i
d3BzdzVwNXBhcndkOTllNXoyc3AwNWFsZjl4NXZ6OXo1MjBzIiB0aW1lc3RhbXA9IjE1MzA4NDQ0
NTQiPjE2PC9rZXk+PGtleSBhcHA9IkVOV2ViIiBkYi1pZD0iIj4wPC9rZXk+PC9mb3JlaWduLWtl
eXM+PHJlZi10eXBlIG5hbWU9IkpvdXJuYWwgQXJ0aWNsZSI+MTc8L3JlZi10eXBlPjxjb250cmli
dXRvcnM+PGF1dGhvcnM+PGF1dGhvcj5UYW4sIEsuIEUuPC9hdXRob3I+PGF1dGhvcj5FbGxpcywg
Qi4gQy48L2F1dGhvcj48YXV0aG9yPkxlZSwgUi48L2F1dGhvcj48YXV0aG9yPlN0YW1wZXIsIFAu
IEQuPC9hdXRob3I+PGF1dGhvcj5aaGFuZywgUy4gWC48L2F1dGhvcj48YXV0aG9yPkNhcnJvbGws
IEsuIEMuPC9hdXRob3I+PC9hdXRob3JzPjwvY29udHJpYnV0b3JzPjxhdXRoLWFkZHJlc3M+Sm9o
bnMgSG9wa2lucyBVbml2ZXJzaXR5IFNjaG9vbCBvZiBNZWRpY2luZSwgQmFsdGltb3JlLCBNRCwg
VVNBLjwvYXV0aC1hZGRyZXNzPjx0aXRsZXM+PHRpdGxlPlByb3NwZWN0aXZlIGV2YWx1YXRpb24g
b2YgYSBtYXRyaXgtYXNzaXN0ZWQgbGFzZXIgZGVzb3JwdGlvbiBpb25pemF0aW9uLXRpbWUgb2Yg
ZmxpZ2h0IG1hc3Mgc3BlY3Ryb21ldHJ5IHN5c3RlbSBpbiBhIGhvc3BpdGFsIGNsaW5pY2FsIG1p
Y3JvYmlvbG9neSBsYWJvcmF0b3J5IGZvciBpZGVudGlmaWNhdGlvbiBvZiBiYWN0ZXJpYSBhbmQg
eWVhc3RzOiBhIGJlbmNoLWJ5LWJlbmNoIHN0dWR5IGZvciBhc3Nlc3NpbmcgdGhlIGltcGFjdCBv
biB0aW1lIHRvIGlkZW50aWZpY2F0aW9uIGFuZCBjb3N0LWVmZmVjdGl2ZW5lc3M8L3RpdGxlPjxz
ZWNvbmRhcnktdGl0bGU+SiBDbGluIE1pY3JvYmlvbDwvc2Vjb25kYXJ5LXRpdGxlPjwvdGl0bGVz
PjxwZXJpb2RpY2FsPjxmdWxsLXRpdGxlPkogQ2xpbiBNaWNyb2Jpb2w8L2Z1bGwtdGl0bGU+PC9w
ZXJpb2RpY2FsPjxwYWdlcz4zMzAxLTg8L3BhZ2VzPjx2b2x1bWU+NTA8L3ZvbHVtZT48bnVtYmVy
PjEwPC9udW1iZXI+PGVkaXRpb24+MjAxMi8wOC8wMzwvZWRpdGlvbj48a2V5d29yZHM+PGtleXdv
cmQ+QmFjdGVyaWEvY2hlbWlzdHJ5L2NsYXNzaWZpY2F0aW9uLyppc29sYXRpb24gJmFtcDsgcHVy
aWZpY2F0aW9uPC9rZXl3b3JkPjxrZXl3b3JkPkJhY3RlcmlhbCBJbmZlY3Rpb25zLypkaWFnbm9z
aXMvbWljcm9iaW9sb2d5PC9rZXl3b3JkPjxrZXl3b3JkPkNvc3QtQmVuZWZpdCBBbmFseXNpczwv
a2V5d29yZD48a2V5d29yZD5GdW5naS9jaGVtaXN0cnkvY2xhc3NpZmljYXRpb24vKmlzb2xhdGlv
biAmYW1wOyBwdXJpZmljYXRpb248L2tleXdvcmQ+PGtleXdvcmQ+SHVtYW5zPC9rZXl3b3JkPjxr
ZXl3b3JkPk1pY3JvYmlvbG9naWNhbCBUZWNobmlxdWVzL2Vjb25vbWljcy8qbWV0aG9kczwva2V5
d29yZD48a2V5d29yZD5Nb2xlY3VsYXIgRGlhZ25vc3RpYyBUZWNobmlxdWVzL2Vjb25vbWljcy8q
bWV0aG9kczwva2V5d29yZD48a2V5d29yZD5NeWNvc2VzLypkaWFnbm9zaXMvbWljcm9iaW9sb2d5
PC9rZXl3b3JkPjxrZXl3b3JkPlNwZWN0cm9tZXRyeSwgTWFzcywgTWF0cml4LUFzc2lzdGVkIExh
c2VyPC9rZXl3b3JkPjxrZXl3b3JkPkRlc29ycHRpb24tSW9uaXphdGlvbi9lY29ub21pY3MvKm1l
dGhvZHM8L2tleXdvcmQ+PGtleXdvcmQ+VGltZSBGYWN0b3JzPC9rZXl3b3JkPjwva2V5d29yZHM+
PGRhdGVzPjx5ZWFyPjIwMTI8L3llYXI+PHB1Yi1kYXRlcz48ZGF0ZT5PY3Q8L2RhdGU+PC9wdWIt
ZGF0ZXM+PC9kYXRlcz48aXNibj4xMDk4LTY2MFggKEVsZWN0cm9uaWMpJiN4RDswMDk1LTExMzcg
KExpbmtpbmcpPC9pc2JuPjxhY2Nlc3Npb24tbnVtPjIyODU1NTEwPC9hY2Nlc3Npb24tbnVtPjx1
cmxzPjxyZWxhdGVkLXVybHM+PHVybD5odHRwczovL3d3dy5uY2JpLm5sbS5uaWguZ292L3B1Ym1l
ZC8yMjg1NTUxMDwvdXJsPjwvcmVsYXRlZC11cmxzPjwvdXJscz48Y3VzdG9tMj5QTUMzNDU3NDQy
PC9jdXN0b20yPjxlbGVjdHJvbmljLXJlc291cmNlLW51bT4xMC4xMTI4L0pDTS4wMTQwNS0xMjwv
ZWxlY3Ryb25pYy1yZXNvdXJjZS1udW0+PC9yZWNvcmQ+PC9DaXRlPjwvRW5kTm90ZT5AAA==
</w:fldData>
        </w:fldChar>
      </w:r>
      <w:r>
        <w:instrText xml:space="preserve"> ADDIN EN.CITE.DATA </w:instrText>
      </w:r>
      <w:r>
        <w:fldChar w:fldCharType="end"/>
      </w:r>
      <w:r>
        <w:fldChar w:fldCharType="separate"/>
      </w:r>
      <w:r>
        <w:t>[8]</w:t>
      </w:r>
      <w:r>
        <w:fldChar w:fldCharType="end"/>
      </w:r>
      <w:r>
        <w:rPr>
          <w:rFonts w:hint="eastAsia"/>
        </w:rPr>
        <w:t>。</w:t>
      </w:r>
    </w:p>
    <w:p>
      <w:r>
        <w:rPr>
          <w:rFonts w:hint="eastAsia"/>
        </w:rPr>
        <w:t>与MALDI</w:t>
      </w:r>
      <w:r>
        <w:t>-TOF</w:t>
      </w:r>
      <w:r>
        <w:rPr>
          <w:rFonts w:hint="eastAsia"/>
        </w:rPr>
        <w:t xml:space="preserve">类似，DNA测序于真菌鉴定也具有快速、准确的特点。但是，由于目前基于ITS序列或整个核糖体序列的靶向测序技术尚未成熟，因此测序方法在临床真菌样本鉴定中的应用依然有限 </w:t>
      </w:r>
      <w:r>
        <w:fldChar w:fldCharType="begin">
          <w:fldData xml:space="preserve">PEVuZE5vdGU+PENpdGU+PEF1dGhvcj5Nb25jYWRhPC9BdXRob3I+PFllYXI+MjAxMzwvWWVhcj48
UmVjTnVtPjIwPC9SZWNOdW0+PERpc3BsYXlUZXh0Pls5XTwvRGlzcGxheVRleHQ+PHJlY29yZD48
cmVjLW51bWJlcj4yMDwvcmVjLW51bWJlcj48Zm9yZWlnbi1rZXlzPjxrZXkgYXBwPSJFTiIgZGIt
aWQ9Indwc3c1cDVwYXJ3ZDk5ZTV6MnNwMDVhbGY5eDV2ejl6NTIwcyIgdGltZXN0YW1wPSIxNTMx
MjA5ODk1Ij4yMDwva2V5PjxrZXkgYXBwPSJFTldlYiIgZGItaWQ9IiI+MDwva2V5PjwvZm9yZWln
bi1rZXlzPjxyZWYtdHlwZSBuYW1lPSJKb3VybmFsIEFydGljbGUiPjE3PC9yZWYtdHlwZT48Y29u
dHJpYnV0b3JzPjxhdXRob3JzPjxhdXRob3I+TW9uY2FkYSwgUC4gQS48L2F1dGhvcj48YXV0aG9y
PkJ1ZHZ5dGllbmUsIEkuPC9hdXRob3I+PGF1dGhvcj5IbywgRC4gWS48L2F1dGhvcj48YXV0aG9y
PkRlcmVzaW5za2ksIFMuIEMuPC9hdXRob3I+PGF1dGhvcj5Nb250b3lhLCBKLiBHLjwvYXV0aG9y
PjxhdXRob3I+QmFuYWVpLCBOLjwvYXV0aG9yPjwvYXV0aG9ycz48L2NvbnRyaWJ1dG9ycz48YXV0
aC1hZGRyZXNzPkRlcGFydG1lbnQgb2YgTWVkaWNpbmUsIERpdmlzaW9uIG9mIEluZmVjdGlvdXMg
RGlzZWFzZXMgYW5kIEdlb2dyYXBoaWMgTWVkaWNpbmUsIFN0YW5mb3JkIFVuaXZlcnNpdHkgU2No
b29sIG9mIE1lZGljaW5lLCBTdGFuZm9yZCwgQ0EsIFVTQS48L2F1dGgtYWRkcmVzcz48dGl0bGVz
Pjx0aXRsZT5VdGlsaXR5IG9mIEROQSBzZXF1ZW5jaW5nIGZvciBkaXJlY3QgaWRlbnRpZmljYXRp
b24gb2YgaW52YXNpdmUgZnVuZ2kgZnJvbSBmcmVzaCBhbmQgZm9ybWFsaW4tZml4ZWQgc3BlY2lt
ZW5zPC90aXRsZT48c2Vjb25kYXJ5LXRpdGxlPkFtIEogQ2xpbiBQYXRob2w8L3NlY29uZGFyeS10
aXRsZT48L3RpdGxlcz48cGVyaW9kaWNhbD48ZnVsbC10aXRsZT5BbSBKIENsaW4gUGF0aG9sPC9m
dWxsLXRpdGxlPjwvcGVyaW9kaWNhbD48cGFnZXM+MjAzLTg8L3BhZ2VzPjx2b2x1bWU+MTQwPC92
b2x1bWU+PG51bWJlcj4yPC9udW1iZXI+PGVkaXRpb24+MjAxMy8wNy8zMTwvZWRpdGlvbj48a2V5
d29yZHM+PGtleXdvcmQ+QWR1bHQ8L2tleXdvcmQ+PGtleXdvcmQ+QWdlZDwva2V5d29yZD48a2V5
d29yZD5BZ2VkLCA4MCBhbmQgb3Zlcjwva2V5d29yZD48a2V5d29yZD5ETkEsIEZ1bmdhbC8qZ2Vu
ZXRpY3M8L2tleXdvcmQ+PGtleXdvcmQ+Rm9ybWFsZGVoeWRlPC9rZXl3b3JkPjxrZXl3b3JkPkZ1
bmdpL2dlbmV0aWNzLyppc29sYXRpb24gJmFtcDsgcHVyaWZpY2F0aW9uL21ldGFib2xpc208L2tl
eXdvcmQ+PGtleXdvcmQ+SHVtYW5zPC9rZXl3b3JkPjxrZXl3b3JkPk1hbGU8L2tleXdvcmQ+PGtl
eXdvcmQ+TXljb3Nlcy8qZGlhZ25vc2lzL2dlbmV0aWNzL21ldGFib2xpc208L2tleXdvcmQ+PGtl
eXdvcmQ+UGFyYWZmaW4gRW1iZWRkaW5nPC9rZXl3b3JkPjxrZXl3b3JkPipTZXF1ZW5jZSBBbmFs
eXNpcywgRE5BPC9rZXl3b3JkPjxrZXl3b3JkPlRpc3N1ZSBGaXhhdGlvbjwva2V5d29yZD48a2V5
d29yZD5GdW5naTwva2V5d29yZD48a2V5d29yZD5JZGVudGlmaWNhdGlvbjwva2V5d29yZD48a2V5
d29yZD5JbnZhc2l2ZTwva2V5d29yZD48a2V5d29yZD5QYXJhZmZpbi1lbWJlZGRlZDwva2V5d29y
ZD48a2V5d29yZD5TZXF1ZW5jaW5nPC9rZXl3b3JkPjwva2V5d29yZHM+PGRhdGVzPjx5ZWFyPjIw
MTM8L3llYXI+PHB1Yi1kYXRlcz48ZGF0ZT5BdWc8L2RhdGU+PC9wdWItZGF0ZXM+PC9kYXRlcz48
aXNibj4xOTQzLTc3MjIgKEVsZWN0cm9uaWMpJiN4RDswMDAyLTkxNzMgKExpbmtpbmcpPC9pc2Ju
PjxhY2Nlc3Npb24tbnVtPjIzODk3MjU1PC9hY2Nlc3Npb24tbnVtPjx1cmxzPjxyZWxhdGVkLXVy
bHM+PHVybD5odHRwczovL3d3dy5uY2JpLm5sbS5uaWguZ292L3B1Ym1lZC8yMzg5NzI1NTwvdXJs
PjwvcmVsYXRlZC11cmxzPjwvdXJscz48ZWxlY3Ryb25pYy1yZXNvdXJjZS1udW0+MTAuMTMwOS9B
SkNQTlNVMlNEWkQ5V1BXPC9lbGVjdHJvbmljLXJlc291cmNlLW51bT48L3JlY29yZD48L0NpdGU+
PC9FbmROb3RlPnAA
</w:fldData>
        </w:fldChar>
      </w:r>
      <w:r>
        <w:instrText xml:space="preserve"> ADDIN EN.CITE </w:instrText>
      </w:r>
      <w:r>
        <w:fldChar w:fldCharType="begin">
          <w:fldData xml:space="preserve">PEVuZE5vdGU+PENpdGU+PEF1dGhvcj5Nb25jYWRhPC9BdXRob3I+PFllYXI+MjAxMzwvWWVhcj48
UmVjTnVtPjIwPC9SZWNOdW0+PERpc3BsYXlUZXh0Pls5XTwvRGlzcGxheVRleHQ+PHJlY29yZD48
cmVjLW51bWJlcj4yMDwvcmVjLW51bWJlcj48Zm9yZWlnbi1rZXlzPjxrZXkgYXBwPSJFTiIgZGIt
aWQ9Indwc3c1cDVwYXJ3ZDk5ZTV6MnNwMDVhbGY5eDV2ejl6NTIwcyIgdGltZXN0YW1wPSIxNTMx
MjA5ODk1Ij4yMDwva2V5PjxrZXkgYXBwPSJFTldlYiIgZGItaWQ9IiI+MDwva2V5PjwvZm9yZWln
bi1rZXlzPjxyZWYtdHlwZSBuYW1lPSJKb3VybmFsIEFydGljbGUiPjE3PC9yZWYtdHlwZT48Y29u
dHJpYnV0b3JzPjxhdXRob3JzPjxhdXRob3I+TW9uY2FkYSwgUC4gQS48L2F1dGhvcj48YXV0aG9y
PkJ1ZHZ5dGllbmUsIEkuPC9hdXRob3I+PGF1dGhvcj5IbywgRC4gWS48L2F1dGhvcj48YXV0aG9y
PkRlcmVzaW5za2ksIFMuIEMuPC9hdXRob3I+PGF1dGhvcj5Nb250b3lhLCBKLiBHLjwvYXV0aG9y
PjxhdXRob3I+QmFuYWVpLCBOLjwvYXV0aG9yPjwvYXV0aG9ycz48L2NvbnRyaWJ1dG9ycz48YXV0
aC1hZGRyZXNzPkRlcGFydG1lbnQgb2YgTWVkaWNpbmUsIERpdmlzaW9uIG9mIEluZmVjdGlvdXMg
RGlzZWFzZXMgYW5kIEdlb2dyYXBoaWMgTWVkaWNpbmUsIFN0YW5mb3JkIFVuaXZlcnNpdHkgU2No
b29sIG9mIE1lZGljaW5lLCBTdGFuZm9yZCwgQ0EsIFVTQS48L2F1dGgtYWRkcmVzcz48dGl0bGVz
Pjx0aXRsZT5VdGlsaXR5IG9mIEROQSBzZXF1ZW5jaW5nIGZvciBkaXJlY3QgaWRlbnRpZmljYXRp
b24gb2YgaW52YXNpdmUgZnVuZ2kgZnJvbSBmcmVzaCBhbmQgZm9ybWFsaW4tZml4ZWQgc3BlY2lt
ZW5zPC90aXRsZT48c2Vjb25kYXJ5LXRpdGxlPkFtIEogQ2xpbiBQYXRob2w8L3NlY29uZGFyeS10
aXRsZT48L3RpdGxlcz48cGVyaW9kaWNhbD48ZnVsbC10aXRsZT5BbSBKIENsaW4gUGF0aG9sPC9m
dWxsLXRpdGxlPjwvcGVyaW9kaWNhbD48cGFnZXM+MjAzLTg8L3BhZ2VzPjx2b2x1bWU+MTQwPC92
b2x1bWU+PG51bWJlcj4yPC9udW1iZXI+PGVkaXRpb24+MjAxMy8wNy8zMTwvZWRpdGlvbj48a2V5
d29yZHM+PGtleXdvcmQ+QWR1bHQ8L2tleXdvcmQ+PGtleXdvcmQ+QWdlZDwva2V5d29yZD48a2V5
d29yZD5BZ2VkLCA4MCBhbmQgb3Zlcjwva2V5d29yZD48a2V5d29yZD5ETkEsIEZ1bmdhbC8qZ2Vu
ZXRpY3M8L2tleXdvcmQ+PGtleXdvcmQ+Rm9ybWFsZGVoeWRlPC9rZXl3b3JkPjxrZXl3b3JkPkZ1
bmdpL2dlbmV0aWNzLyppc29sYXRpb24gJmFtcDsgcHVyaWZpY2F0aW9uL21ldGFib2xpc208L2tl
eXdvcmQ+PGtleXdvcmQ+SHVtYW5zPC9rZXl3b3JkPjxrZXl3b3JkPk1hbGU8L2tleXdvcmQ+PGtl
eXdvcmQ+TXljb3Nlcy8qZGlhZ25vc2lzL2dlbmV0aWNzL21ldGFib2xpc208L2tleXdvcmQ+PGtl
eXdvcmQ+UGFyYWZmaW4gRW1iZWRkaW5nPC9rZXl3b3JkPjxrZXl3b3JkPipTZXF1ZW5jZSBBbmFs
eXNpcywgRE5BPC9rZXl3b3JkPjxrZXl3b3JkPlRpc3N1ZSBGaXhhdGlvbjwva2V5d29yZD48a2V5
d29yZD5GdW5naTwva2V5d29yZD48a2V5d29yZD5JZGVudGlmaWNhdGlvbjwva2V5d29yZD48a2V5
d29yZD5JbnZhc2l2ZTwva2V5d29yZD48a2V5d29yZD5QYXJhZmZpbi1lbWJlZGRlZDwva2V5d29y
ZD48a2V5d29yZD5TZXF1ZW5jaW5nPC9rZXl3b3JkPjwva2V5d29yZHM+PGRhdGVzPjx5ZWFyPjIw
MTM8L3llYXI+PHB1Yi1kYXRlcz48ZGF0ZT5BdWc8L2RhdGU+PC9wdWItZGF0ZXM+PC9kYXRlcz48
aXNibj4xOTQzLTc3MjIgKEVsZWN0cm9uaWMpJiN4RDswMDAyLTkxNzMgKExpbmtpbmcpPC9pc2Ju
PjxhY2Nlc3Npb24tbnVtPjIzODk3MjU1PC9hY2Nlc3Npb24tbnVtPjx1cmxzPjxyZWxhdGVkLXVy
bHM+PHVybD5odHRwczovL3d3dy5uY2JpLm5sbS5uaWguZ292L3B1Ym1lZC8yMzg5NzI1NTwvdXJs
PjwvcmVsYXRlZC11cmxzPjwvdXJscz48ZWxlY3Ryb25pYy1yZXNvdXJjZS1udW0+MTAuMTMwOS9B
SkNQTlNVMlNEWkQ5V1BXPC9lbGVjdHJvbmljLXJlc291cmNlLW51bT48L3JlY29yZD48L0NpdGU+
PC9FbmROb3RlPnAA
</w:fldData>
        </w:fldChar>
      </w:r>
      <w:r>
        <w:instrText xml:space="preserve"> ADDIN EN.CITE.DATA </w:instrText>
      </w:r>
      <w:r>
        <w:fldChar w:fldCharType="end"/>
      </w:r>
      <w:r>
        <w:fldChar w:fldCharType="separate"/>
      </w:r>
      <w:r>
        <w:t>[9]</w:t>
      </w:r>
      <w:r>
        <w:fldChar w:fldCharType="end"/>
      </w:r>
      <w:r>
        <w:rPr>
          <w:rFonts w:hint="eastAsia"/>
        </w:rPr>
        <w:t>。此次调研显示，3</w:t>
      </w:r>
      <w:r>
        <w:t>48</w:t>
      </w:r>
      <w:r>
        <w:rPr>
          <w:rFonts w:hint="eastAsia"/>
        </w:rPr>
        <w:t>家医院中，在本院配备测序仪进行真菌鉴定的医院比例不足1</w:t>
      </w:r>
      <w:r>
        <w:t>0</w:t>
      </w:r>
      <w:r>
        <w:rPr>
          <w:rFonts w:hint="eastAsia"/>
        </w:rPr>
        <w:t>%；且测序手段主要用于科研：配备测序仪的医院大多参与真菌相关科研活动（8</w:t>
      </w:r>
      <w:r>
        <w:t>5</w:t>
      </w:r>
      <w:r>
        <w:rPr>
          <w:rFonts w:hint="eastAsia"/>
        </w:rPr>
        <w:t>%，2</w:t>
      </w:r>
      <w:r>
        <w:t>2/26</w:t>
      </w:r>
      <w:r>
        <w:rPr>
          <w:rFonts w:hint="eastAsia"/>
        </w:rPr>
        <w:t>），而不参与科研活动的医院中仅1</w:t>
      </w:r>
      <w:r>
        <w:t>.7</w:t>
      </w:r>
      <w:r>
        <w:rPr>
          <w:rFonts w:hint="eastAsia"/>
        </w:rPr>
        <w:t>%（4</w:t>
      </w:r>
      <w:r>
        <w:t>/239</w:t>
      </w:r>
      <w:r>
        <w:rPr>
          <w:rFonts w:hint="eastAsia"/>
        </w:rPr>
        <w:t>）的医院配备测序仪。</w:t>
      </w:r>
    </w:p>
    <w:p>
      <w:r>
        <w:rPr>
          <w:rFonts w:hint="eastAsia"/>
        </w:rPr>
        <w:t>综上所述，目前多数临床实验室仍采用传统的培养方法进行真菌鉴定。由于真菌生长缓慢，鉴定所需时间较长，传统的培养方法不利于真菌感染的早期诊断。并且，随着真菌菌株日益多样化，利用传统方法进行鉴定的难度不断增大，尤其是桔假丝酵母菌（</w:t>
      </w:r>
      <w:r>
        <w:rPr>
          <w:rFonts w:hint="eastAsia"/>
          <w:i/>
        </w:rPr>
        <w:t>C</w:t>
      </w:r>
      <w:r>
        <w:rPr>
          <w:i/>
        </w:rPr>
        <w:t>andida quercitrusa</w:t>
      </w:r>
      <w:r>
        <w:rPr>
          <w:rFonts w:hint="eastAsia"/>
        </w:rPr>
        <w:t>）、耳道念珠菌（</w:t>
      </w:r>
      <w:r>
        <w:rPr>
          <w:rFonts w:hint="eastAsia"/>
          <w:i/>
        </w:rPr>
        <w:t>C</w:t>
      </w:r>
      <w:r>
        <w:rPr>
          <w:i/>
        </w:rPr>
        <w:t>andida auris</w:t>
      </w:r>
      <w:r>
        <w:rPr>
          <w:rFonts w:hint="eastAsia"/>
        </w:rPr>
        <w:t xml:space="preserve">）等新兴不常见菌株，传统方法无法对其进行甄别 </w:t>
      </w:r>
      <w:r>
        <w:fldChar w:fldCharType="begin">
          <w:fldData xml:space="preserve">PEVuZE5vdGU+PENpdGU+PEF1dGhvcj5XYW5nPC9BdXRob3I+PFllYXI+MjAxODwvWWVhcj48UmVj
TnVtPjIxPC9SZWNOdW0+PERpc3BsYXlUZXh0PlsxMCwgMTFdPC9EaXNwbGF5VGV4dD48cmVjb3Jk
PjxyZWMtbnVtYmVyPjIxPC9yZWMtbnVtYmVyPjxmb3JlaWduLWtleXM+PGtleSBhcHA9IkVOIiBk
Yi1pZD0id3BzdzVwNXBhcndkOTllNXoyc3AwNWFsZjl4NXZ6OXo1MjBzIiB0aW1lc3RhbXA9IjE1
MzEyMTMwNDgiPjIxPC9rZXk+PGtleSBhcHA9IkVOV2ViIiBkYi1pZD0iIj4wPC9rZXk+PC9mb3Jl
aWduLWtleXM+PHJlZi10eXBlIG5hbWU9IkpvdXJuYWwgQXJ0aWNsZSI+MTc8L3JlZi10eXBlPjxj
b250cmlidXRvcnM+PGF1dGhvcnM+PGF1dGhvcj5XYW5nLCBYLjwvYXV0aG9yPjxhdXRob3I+Qmlu
ZywgSi48L2F1dGhvcj48YXV0aG9yPlpoZW5nLCBRLjwvYXV0aG9yPjxhdXRob3I+WmhhbmcsIEYu
PC9hdXRob3I+PGF1dGhvcj5MaXUsIEouPC9hdXRob3I+PGF1dGhvcj5ZdWUsIEguPC9hdXRob3I+
PGF1dGhvcj5UYW8sIEwuPC9hdXRob3I+PGF1dGhvcj5EdSwgSC48L2F1dGhvcj48YXV0aG9yPldh
bmcsIFkuPC9hdXRob3I+PGF1dGhvcj5XYW5nLCBILjwvYXV0aG9yPjxhdXRob3I+SHVhbmcsIEcu
PC9hdXRob3I+PC9hdXRob3JzPjwvY29udHJpYnV0b3JzPjxhdXRoLWFkZHJlc3M+RGVwYXJ0bWVu
dCBvZiBDbGluaWNhbCBMYWJvcmF0b3J5LCBQZWtpbmcgVW5pdmVyc2l0eSBQZW9wbGUmYXBvcztz
IEhvc3BpdGFsLCAxMDAwNDQsIEJlaWppbmcsIENoaW5hLiYjeEQ7U3RhdGUgS2V5IExhYm9yYXRv
cnkgb2YgTXljb2xvZ3ksIEluc3RpdHV0ZSBvZiBNaWNyb2Jpb2xvZ3ksIENoaW5lc2UgQWNhZGVt
eSBvZiBTY2llbmNlcywgMTAwMTAxLCBCZWlqaW5nLCBDaGluYS4mI3hEO1VuaXZlcnNpdHkgb2Yg
Q2hpbmVzZSBBY2FkZW15IG9mIFNjaWVuY2VzLCAxMDAwNDksIEJlaWppbmcsIENoaW5hLiYjeEQ7
U3RhdGUgS2V5IExhYm9yYXRvcnkgb2YgR2VuZXRpYyBFbmdpbmVlcmluZywgU2Nob29sIG9mIExp
ZmUgU2NpZW5jZXMsIEZ1ZGFuIFVuaXZlcnNpdHksIDIwMDQzOCwgU2hhbmdoYWksIENoaW5hLiYj
eEQ7RGVwYXJ0bWVudCBvZiBOZXBocm9sb2d5LCBQZWtpbmcgVW5pdmVyc2l0eSBQZW9wbGUmYXBv
cztzIEhvc3BpdGFsLCAxMDAwNDQsIEJlaWppbmcsIENoaW5hLiYjeEQ7RGVwYXJ0bWVudCBvZiBD
bGluaWNhbCBMYWJvcmF0b3J5LCBQZWtpbmcgVW5pdmVyc2l0eSBQZW9wbGUmYXBvcztzIEhvc3Bp
dGFsLCAxMDAwNDQsIEJlaWppbmcsIENoaW5hLiB3YW5naHVpQHBrdXBoLmVkdS5jbi4mI3hEO1N0
YXRlIEtleSBMYWJvcmF0b3J5IG9mIE15Y29sb2d5LCBJbnN0aXR1dGUgb2YgTWljcm9iaW9sb2d5
LCBDaGluZXNlIEFjYWRlbXkgb2YgU2NpZW5jZXMsIDEwMDEwMSwgQmVpamluZywgQ2hpbmEuIGh1
YW5nZ2hAaW0uYWMuY24uJiN4RDtVbml2ZXJzaXR5IG9mIENoaW5lc2UgQWNhZGVteSBvZiBTY2ll
bmNlcywgMTAwMDQ5LCBCZWlqaW5nLCBDaGluYS4gaHVhbmdnaEBpbS5hYy5jbi4mI3hEO1N0YXRl
IEtleSBMYWJvcmF0b3J5IG9mIEdlbmV0aWMgRW5naW5lZXJpbmcsIFNjaG9vbCBvZiBMaWZlIFNj
aWVuY2VzLCBGdWRhbiBVbml2ZXJzaXR5LCAyMDA0MzgsIFNoYW5naGFpLCBDaGluYS4gaHVhbmdn
aEBpbS5hYy5jbi48L2F1dGgtYWRkcmVzcz48dGl0bGVzPjx0aXRsZT5UaGUgZmlyc3QgaXNvbGF0
ZSBvZiBDYW5kaWRhIGF1cmlzIGluIENoaW5hOiBjbGluaWNhbCBhbmQgYmlvbG9naWNhbCBhc3Bl
Y3RzPC90aXRsZT48c2Vjb25kYXJ5LXRpdGxlPkVtZXJnIE1pY3JvYmVzIEluZmVjdDwvc2Vjb25k
YXJ5LXRpdGxlPjwvdGl0bGVzPjxwZXJpb2RpY2FsPjxmdWxsLXRpdGxlPkVtZXJnIE1pY3JvYmVz
IEluZmVjdDwvZnVsbC10aXRsZT48L3BlcmlvZGljYWw+PHBhZ2VzPjkzPC9wYWdlcz48dm9sdW1l
Pjc8L3ZvbHVtZT48bnVtYmVyPjE8L251bWJlcj48ZWRpdGlvbj4yMDE4LzA1LzIwPC9lZGl0aW9u
PjxkYXRlcz48eWVhcj4yMDE4PC95ZWFyPjxwdWItZGF0ZXM+PGRhdGU+TWF5IDE4PC9kYXRlPjwv
cHViLWRhdGVzPjwvZGF0ZXM+PGlzYm4+MjIyMi0xNzUxIChFbGVjdHJvbmljKSYjeEQ7MjIyMi0x
NzUxIChMaW5raW5nKTwvaXNibj48YWNjZXNzaW9uLW51bT4yOTc3NzA5NjwvYWNjZXNzaW9uLW51
bT48dXJscz48cmVsYXRlZC11cmxzPjx1cmw+aHR0cHM6Ly93d3cubmNiaS5ubG0ubmloLmdvdi9w
dWJtZWQvMjk3NzcwOTY8L3VybD48L3JlbGF0ZWQtdXJscz48L3VybHM+PGN1c3RvbTI+UE1DNTk1
OTkyODwvY3VzdG9tMj48ZWxlY3Ryb25pYy1yZXNvdXJjZS1udW0+MTAuMTAzOC9zNDE0MjYtMDE4
LTAwOTUtMDwvZWxlY3Ryb25pYy1yZXNvdXJjZS1udW0+PC9yZWNvcmQ+PC9DaXRlPjxDaXRlPjxB
dXRob3I+WGlhbzwvQXV0aG9yPjxZZWFyPjIwMTQ8L1llYXI+PFJlY051bT4yNDwvUmVjTnVtPjxy
ZWNvcmQ+PHJlYy1udW1iZXI+MjQ8L3JlYy1udW1iZXI+PGZvcmVpZ24ta2V5cz48a2V5IGFwcD0i
RU4iIGRiLWlkPSJ3cHN3NXA1cGFyd2Q5OWU1ejJzcDA1YWxmOXg1dno5ejUyMHMiIHRpbWVzdGFt
cD0iMTUzMTI4Mzg0MiI+MjQ8L2tleT48a2V5IGFwcD0iRU5XZWIiIGRiLWlkPSIiPjA8L2tleT48
L2ZvcmVpZ24ta2V5cz48cmVmLXR5cGUgbmFtZT0iSm91cm5hbCBBcnRpY2xlIj4xNzwvcmVmLXR5
cGU+PGNvbnRyaWJ1dG9ycz48YXV0aG9ycz48YXV0aG9yPlhpYW8sIE0uPC9hdXRob3I+PGF1dGhv
cj5XYW5nLCBILjwvYXV0aG9yPjxhdXRob3I+THUsIEouPC9hdXRob3I+PGF1dGhvcj5DaGVuLCBT
LiBDLjwvYXV0aG9yPjxhdXRob3I+S29uZywgRi48L2F1dGhvcj48YXV0aG9yPk1hLCBYLiBKLjwv
YXV0aG9yPjxhdXRob3I+WHUsIFkuIEMuPC9hdXRob3I+PC9hdXRob3JzPjwvY29udHJpYnV0b3Jz
PjxhdXRoLWFkZHJlc3M+RGVwYXJ0bWVudCBvZiBDbGluaWNhbCBMYWJvcmF0b3J5LCBQZWtpbmcg
VW5pb24gTWVkaWNhbCBDb2xsZWdlIEhvc3BpdGFsLCBHcmFkdWF0ZSBTY2hvb2wsIFBla2luZyBV
bmlvbiBNZWRpY2FsIENvbGxlZ2UsIENoaW5lc2UgQWNhZGVteSBvZiBNZWRpY2FsIFNjaWVuY2Vz
LCBCZWlqaW5nLCBDaGluYS4mI3hEO0RlcGFydG1lbnQgb2YgQ2xpbmljYWwgTGFib3JhdG9yeSwg
dGhlIEZpcnN0IEFmZmlsaWF0ZWQgSG9zcGl0YWwgb2YgSGFyYmluIE1lZGljYWwgVW5pdmVyc2l0
eSwgSGFyYmluLCBIZWlsb25namlhbmcsIENoaW5hLiYjeEQ7Q2VudHJlIGZvciBJbmZlY3Rpb3Vz
IERpc2Vhc2VzIGFuZCBNaWNyb2Jpb2xvZ3kgTGFib3JhdG9yeSBTZXJ2aWNlcywgSUNQTVItUGF0
aG9sb2d5IFdlc3QsIFVuaXZlcnNpdHkgb2YgU3lkbmV5LCBXZXN0bWVhZCBIb3NwaXRhbCwgRGFy
Y3kgUm9hZCwgV2VzdG1lYWQsIE5ldyBTb3V0aCBXYWxlcywgQXVzdHJhbGlhLiYjeEQ7RGVwYXJ0
bWVudCBvZiBJbmZlY3Rpb3VzIERpc2Vhc2VzLCBQZWtpbmcgVW5pb24gTWVkaWNhbCBDb2xsZWdl
IEhvc3BpdGFsLCBDaGluZXNlIEFjYWRlbXkgb2YgTWVkaWNhbCBTY2llbmNlcywgQmVpamluZywg
Q2hpbmEgZHJtYXhpYW9qdW5AZ21haWwuY29tIHh5Y3B1bWNoQDEzOS5jb20uJiN4RDtEZXBhcnRt
ZW50IG9mIENsaW5pY2FsIExhYm9yYXRvcnksIFBla2luZyBVbmlvbiBNZWRpY2FsIENvbGxlZ2Ug
SG9zcGl0YWwsIEdyYWR1YXRlIFNjaG9vbCwgUGVraW5nIFVuaW9uIE1lZGljYWwgQ29sbGVnZSwg
Q2hpbmVzZSBBY2FkZW15IG9mIE1lZGljYWwgU2NpZW5jZXMsIEJlaWppbmcsIENoaW5hIGRybWF4
aWFvanVuQGdtYWlsLmNvbSB4eWNwdW1jaEAxMzkuY29tLjwvYXV0aC1hZGRyZXNzPjx0aXRsZXM+
PHRpdGxlPlRocmVlIGNsdXN0ZXJlZCBjYXNlcyBvZiBjYW5kaWRlbWlhIGNhdXNlZCBieSBDYW5k
aWRhIHF1ZXJjaXRydXNhIGFuZCBteWNvbG9naWNhbCBjaGFyYWN0ZXJpc3RpY3Mgb2YgdGhpcyBu
b3ZlbCBzcGVjaWVzPC90aXRsZT48c2Vjb25kYXJ5LXRpdGxlPkogQ2xpbiBNaWNyb2Jpb2w8L3Nl
Y29uZGFyeS10aXRsZT48L3RpdGxlcz48cGVyaW9kaWNhbD48ZnVsbC10aXRsZT5KIENsaW4gTWlj
cm9iaW9sPC9mdWxsLXRpdGxlPjwvcGVyaW9kaWNhbD48cGFnZXM+MzA0NC04PC9wYWdlcz48dm9s
dW1lPjUyPC92b2x1bWU+PG51bWJlcj44PC9udW1iZXI+PGVkaXRpb24+MjAxNC8wNC8wNDwvZWRp
dGlvbj48a2V5d29yZHM+PGtleXdvcmQ+QWR1bHQ8L2tleXdvcmQ+PGtleXdvcmQ+QW50aWZ1bmdh
bCBBZ2VudHMvcGhhcm1hY29sb2d5PC9rZXl3b3JkPjxrZXl3b3JkPkNhbmRpZGEvY2hlbWlzdHJ5
LypjbGFzc2lmaWNhdGlvbi9nZW5ldGljcy8qaXNvbGF0aW9uICZhbXA7IHB1cmlmaWNhdGlvbjwv
a2V5d29yZD48a2V5d29yZD5DYW5kaWRlbWlhL2RpYWdub3Npcy8qbWljcm9iaW9sb2d5PC9rZXl3
b3JkPjxrZXl3b3JkPkNoaW5hPC9rZXl3b3JkPjxrZXl3b3JkPkNyb3NzIEluZmVjdGlvbi9kaWFn
bm9zaXMvKm1pY3JvYmlvbG9neTwva2V5d29yZD48a2V5d29yZD5GbHVjb25hem9sZS9waGFybWFj
b2xvZ3k8L2tleXdvcmQ+PGtleXdvcmQ+SG9zcGl0YWxzPC9rZXl3b3JkPjxrZXl3b3JkPkh1bWFu
czwva2V5d29yZD48a2V5d29yZD5NYWxlPC9rZXl3b3JkPjxrZXl3b3JkPk1pY3JvYmlhbCBTZW5z
aXRpdml0eSBUZXN0czwva2V5d29yZD48a2V5d29yZD5NaWRkbGUgQWdlZDwva2V5d29yZD48a2V5
d29yZD5Nb2xlY3VsYXIgU2VxdWVuY2UgRGF0YTwva2V5d29yZD48a2V5d29yZD5STkEsIFJpYm9z
b21hbC9nZW5ldGljczwva2V5d29yZD48a2V5d29yZD5SYW5kb20gQW1wbGlmaWVkIFBvbHltb3Jw
aGljIEROQSBUZWNobmlxdWU8L2tleXdvcmQ+PGtleXdvcmQ+U2VxdWVuY2UgQW5hbHlzaXMsIERO
QTwva2V5d29yZD48a2V5d29yZD5TcGVjdHJvbWV0cnksIE1hc3MsIE1hdHJpeC1Bc3Npc3RlZCBM
YXNlciBEZXNvcnB0aW9uLUlvbml6YXRpb248L2tleXdvcmQ+PC9rZXl3b3Jkcz48ZGF0ZXM+PHll
YXI+MjAxNDwveWVhcj48cHViLWRhdGVzPjxkYXRlPkF1ZzwvZGF0ZT48L3B1Yi1kYXRlcz48L2Rh
dGVzPjxpc2JuPjEwOTgtNjYwWCAoRWxlY3Ryb25pYykmI3hEOzAwOTUtMTEzNyAoTGlua2luZyk8
L2lzYm4+PGFjY2Vzc2lvbi1udW0+MjQ2OTYwMjU8L2FjY2Vzc2lvbi1udW0+PHVybHM+PHJlbGF0
ZWQtdXJscz48dXJsPmh0dHBzOi8vd3d3Lm5jYmkubmxtLm5paC5nb3YvcHVibWVkLzI0Njk2MDI1
PC91cmw+PC9yZWxhdGVkLXVybHM+PC91cmxzPjxjdXN0b20yPlBNQzQxMzYxNDM8L2N1c3RvbTI+
PGVsZWN0cm9uaWMtcmVzb3VyY2UtbnVtPjEwLjExMjgvSkNNLjAwMjQ2LTE0PC9lbGVjdHJvbmlj
LXJlc291cmNlLW51bT48L3JlY29yZD48L0NpdGU+PC9FbmROb3RlPgBAAA==
</w:fldData>
        </w:fldChar>
      </w:r>
      <w:r>
        <w:instrText xml:space="preserve"> ADDIN EN.CITE </w:instrText>
      </w:r>
      <w:r>
        <w:fldChar w:fldCharType="begin">
          <w:fldData xml:space="preserve">PEVuZE5vdGU+PENpdGU+PEF1dGhvcj5XYW5nPC9BdXRob3I+PFllYXI+MjAxODwvWWVhcj48UmVj
TnVtPjIxPC9SZWNOdW0+PERpc3BsYXlUZXh0PlsxMCwgMTFdPC9EaXNwbGF5VGV4dD48cmVjb3Jk
PjxyZWMtbnVtYmVyPjIxPC9yZWMtbnVtYmVyPjxmb3JlaWduLWtleXM+PGtleSBhcHA9IkVOIiBk
Yi1pZD0id3BzdzVwNXBhcndkOTllNXoyc3AwNWFsZjl4NXZ6OXo1MjBzIiB0aW1lc3RhbXA9IjE1
MzEyMTMwNDgiPjIxPC9rZXk+PGtleSBhcHA9IkVOV2ViIiBkYi1pZD0iIj4wPC9rZXk+PC9mb3Jl
aWduLWtleXM+PHJlZi10eXBlIG5hbWU9IkpvdXJuYWwgQXJ0aWNsZSI+MTc8L3JlZi10eXBlPjxj
b250cmlidXRvcnM+PGF1dGhvcnM+PGF1dGhvcj5XYW5nLCBYLjwvYXV0aG9yPjxhdXRob3I+Qmlu
ZywgSi48L2F1dGhvcj48YXV0aG9yPlpoZW5nLCBRLjwvYXV0aG9yPjxhdXRob3I+WmhhbmcsIEYu
PC9hdXRob3I+PGF1dGhvcj5MaXUsIEouPC9hdXRob3I+PGF1dGhvcj5ZdWUsIEguPC9hdXRob3I+
PGF1dGhvcj5UYW8sIEwuPC9hdXRob3I+PGF1dGhvcj5EdSwgSC48L2F1dGhvcj48YXV0aG9yPldh
bmcsIFkuPC9hdXRob3I+PGF1dGhvcj5XYW5nLCBILjwvYXV0aG9yPjxhdXRob3I+SHVhbmcsIEcu
PC9hdXRob3I+PC9hdXRob3JzPjwvY29udHJpYnV0b3JzPjxhdXRoLWFkZHJlc3M+RGVwYXJ0bWVu
dCBvZiBDbGluaWNhbCBMYWJvcmF0b3J5LCBQZWtpbmcgVW5pdmVyc2l0eSBQZW9wbGUmYXBvcztz
IEhvc3BpdGFsLCAxMDAwNDQsIEJlaWppbmcsIENoaW5hLiYjeEQ7U3RhdGUgS2V5IExhYm9yYXRv
cnkgb2YgTXljb2xvZ3ksIEluc3RpdHV0ZSBvZiBNaWNyb2Jpb2xvZ3ksIENoaW5lc2UgQWNhZGVt
eSBvZiBTY2llbmNlcywgMTAwMTAxLCBCZWlqaW5nLCBDaGluYS4mI3hEO1VuaXZlcnNpdHkgb2Yg
Q2hpbmVzZSBBY2FkZW15IG9mIFNjaWVuY2VzLCAxMDAwNDksIEJlaWppbmcsIENoaW5hLiYjeEQ7
U3RhdGUgS2V5IExhYm9yYXRvcnkgb2YgR2VuZXRpYyBFbmdpbmVlcmluZywgU2Nob29sIG9mIExp
ZmUgU2NpZW5jZXMsIEZ1ZGFuIFVuaXZlcnNpdHksIDIwMDQzOCwgU2hhbmdoYWksIENoaW5hLiYj
eEQ7RGVwYXJ0bWVudCBvZiBOZXBocm9sb2d5LCBQZWtpbmcgVW5pdmVyc2l0eSBQZW9wbGUmYXBv
cztzIEhvc3BpdGFsLCAxMDAwNDQsIEJlaWppbmcsIENoaW5hLiYjeEQ7RGVwYXJ0bWVudCBvZiBD
bGluaWNhbCBMYWJvcmF0b3J5LCBQZWtpbmcgVW5pdmVyc2l0eSBQZW9wbGUmYXBvcztzIEhvc3Bp
dGFsLCAxMDAwNDQsIEJlaWppbmcsIENoaW5hLiB3YW5naHVpQHBrdXBoLmVkdS5jbi4mI3hEO1N0
YXRlIEtleSBMYWJvcmF0b3J5IG9mIE15Y29sb2d5LCBJbnN0aXR1dGUgb2YgTWljcm9iaW9sb2d5
LCBDaGluZXNlIEFjYWRlbXkgb2YgU2NpZW5jZXMsIDEwMDEwMSwgQmVpamluZywgQ2hpbmEuIGh1
YW5nZ2hAaW0uYWMuY24uJiN4RDtVbml2ZXJzaXR5IG9mIENoaW5lc2UgQWNhZGVteSBvZiBTY2ll
bmNlcywgMTAwMDQ5LCBCZWlqaW5nLCBDaGluYS4gaHVhbmdnaEBpbS5hYy5jbi4mI3hEO1N0YXRl
IEtleSBMYWJvcmF0b3J5IG9mIEdlbmV0aWMgRW5naW5lZXJpbmcsIFNjaG9vbCBvZiBMaWZlIFNj
aWVuY2VzLCBGdWRhbiBVbml2ZXJzaXR5LCAyMDA0MzgsIFNoYW5naGFpLCBDaGluYS4gaHVhbmdn
aEBpbS5hYy5jbi48L2F1dGgtYWRkcmVzcz48dGl0bGVzPjx0aXRsZT5UaGUgZmlyc3QgaXNvbGF0
ZSBvZiBDYW5kaWRhIGF1cmlzIGluIENoaW5hOiBjbGluaWNhbCBhbmQgYmlvbG9naWNhbCBhc3Bl
Y3RzPC90aXRsZT48c2Vjb25kYXJ5LXRpdGxlPkVtZXJnIE1pY3JvYmVzIEluZmVjdDwvc2Vjb25k
YXJ5LXRpdGxlPjwvdGl0bGVzPjxwZXJpb2RpY2FsPjxmdWxsLXRpdGxlPkVtZXJnIE1pY3JvYmVz
IEluZmVjdDwvZnVsbC10aXRsZT48L3BlcmlvZGljYWw+PHBhZ2VzPjkzPC9wYWdlcz48dm9sdW1l
Pjc8L3ZvbHVtZT48bnVtYmVyPjE8L251bWJlcj48ZWRpdGlvbj4yMDE4LzA1LzIwPC9lZGl0aW9u
PjxkYXRlcz48eWVhcj4yMDE4PC95ZWFyPjxwdWItZGF0ZXM+PGRhdGU+TWF5IDE4PC9kYXRlPjwv
cHViLWRhdGVzPjwvZGF0ZXM+PGlzYm4+MjIyMi0xNzUxIChFbGVjdHJvbmljKSYjeEQ7MjIyMi0x
NzUxIChMaW5raW5nKTwvaXNibj48YWNjZXNzaW9uLW51bT4yOTc3NzA5NjwvYWNjZXNzaW9uLW51
bT48dXJscz48cmVsYXRlZC11cmxzPjx1cmw+aHR0cHM6Ly93d3cubmNiaS5ubG0ubmloLmdvdi9w
dWJtZWQvMjk3NzcwOTY8L3VybD48L3JlbGF0ZWQtdXJscz48L3VybHM+PGN1c3RvbTI+UE1DNTk1
OTkyODwvY3VzdG9tMj48ZWxlY3Ryb25pYy1yZXNvdXJjZS1udW0+MTAuMTAzOC9zNDE0MjYtMDE4
LTAwOTUtMDwvZWxlY3Ryb25pYy1yZXNvdXJjZS1udW0+PC9yZWNvcmQ+PC9DaXRlPjxDaXRlPjxB
dXRob3I+WGlhbzwvQXV0aG9yPjxZZWFyPjIwMTQ8L1llYXI+PFJlY051bT4yNDwvUmVjTnVtPjxy
ZWNvcmQ+PHJlYy1udW1iZXI+MjQ8L3JlYy1udW1iZXI+PGZvcmVpZ24ta2V5cz48a2V5IGFwcD0i
RU4iIGRiLWlkPSJ3cHN3NXA1cGFyd2Q5OWU1ejJzcDA1YWxmOXg1dno5ejUyMHMiIHRpbWVzdGFt
cD0iMTUzMTI4Mzg0MiI+MjQ8L2tleT48a2V5IGFwcD0iRU5XZWIiIGRiLWlkPSIiPjA8L2tleT48
L2ZvcmVpZ24ta2V5cz48cmVmLXR5cGUgbmFtZT0iSm91cm5hbCBBcnRpY2xlIj4xNzwvcmVmLXR5
cGU+PGNvbnRyaWJ1dG9ycz48YXV0aG9ycz48YXV0aG9yPlhpYW8sIE0uPC9hdXRob3I+PGF1dGhv
cj5XYW5nLCBILjwvYXV0aG9yPjxhdXRob3I+THUsIEouPC9hdXRob3I+PGF1dGhvcj5DaGVuLCBT
LiBDLjwvYXV0aG9yPjxhdXRob3I+S29uZywgRi48L2F1dGhvcj48YXV0aG9yPk1hLCBYLiBKLjwv
YXV0aG9yPjxhdXRob3I+WHUsIFkuIEMuPC9hdXRob3I+PC9hdXRob3JzPjwvY29udHJpYnV0b3Jz
PjxhdXRoLWFkZHJlc3M+RGVwYXJ0bWVudCBvZiBDbGluaWNhbCBMYWJvcmF0b3J5LCBQZWtpbmcg
VW5pb24gTWVkaWNhbCBDb2xsZWdlIEhvc3BpdGFsLCBHcmFkdWF0ZSBTY2hvb2wsIFBla2luZyBV
bmlvbiBNZWRpY2FsIENvbGxlZ2UsIENoaW5lc2UgQWNhZGVteSBvZiBNZWRpY2FsIFNjaWVuY2Vz
LCBCZWlqaW5nLCBDaGluYS4mI3hEO0RlcGFydG1lbnQgb2YgQ2xpbmljYWwgTGFib3JhdG9yeSwg
dGhlIEZpcnN0IEFmZmlsaWF0ZWQgSG9zcGl0YWwgb2YgSGFyYmluIE1lZGljYWwgVW5pdmVyc2l0
eSwgSGFyYmluLCBIZWlsb25namlhbmcsIENoaW5hLiYjeEQ7Q2VudHJlIGZvciBJbmZlY3Rpb3Vz
IERpc2Vhc2VzIGFuZCBNaWNyb2Jpb2xvZ3kgTGFib3JhdG9yeSBTZXJ2aWNlcywgSUNQTVItUGF0
aG9sb2d5IFdlc3QsIFVuaXZlcnNpdHkgb2YgU3lkbmV5LCBXZXN0bWVhZCBIb3NwaXRhbCwgRGFy
Y3kgUm9hZCwgV2VzdG1lYWQsIE5ldyBTb3V0aCBXYWxlcywgQXVzdHJhbGlhLiYjeEQ7RGVwYXJ0
bWVudCBvZiBJbmZlY3Rpb3VzIERpc2Vhc2VzLCBQZWtpbmcgVW5pb24gTWVkaWNhbCBDb2xsZWdl
IEhvc3BpdGFsLCBDaGluZXNlIEFjYWRlbXkgb2YgTWVkaWNhbCBTY2llbmNlcywgQmVpamluZywg
Q2hpbmEgZHJtYXhpYW9qdW5AZ21haWwuY29tIHh5Y3B1bWNoQDEzOS5jb20uJiN4RDtEZXBhcnRt
ZW50IG9mIENsaW5pY2FsIExhYm9yYXRvcnksIFBla2luZyBVbmlvbiBNZWRpY2FsIENvbGxlZ2Ug
SG9zcGl0YWwsIEdyYWR1YXRlIFNjaG9vbCwgUGVraW5nIFVuaW9uIE1lZGljYWwgQ29sbGVnZSwg
Q2hpbmVzZSBBY2FkZW15IG9mIE1lZGljYWwgU2NpZW5jZXMsIEJlaWppbmcsIENoaW5hIGRybWF4
aWFvanVuQGdtYWlsLmNvbSB4eWNwdW1jaEAxMzkuY29tLjwvYXV0aC1hZGRyZXNzPjx0aXRsZXM+
PHRpdGxlPlRocmVlIGNsdXN0ZXJlZCBjYXNlcyBvZiBjYW5kaWRlbWlhIGNhdXNlZCBieSBDYW5k
aWRhIHF1ZXJjaXRydXNhIGFuZCBteWNvbG9naWNhbCBjaGFyYWN0ZXJpc3RpY3Mgb2YgdGhpcyBu
b3ZlbCBzcGVjaWVzPC90aXRsZT48c2Vjb25kYXJ5LXRpdGxlPkogQ2xpbiBNaWNyb2Jpb2w8L3Nl
Y29uZGFyeS10aXRsZT48L3RpdGxlcz48cGVyaW9kaWNhbD48ZnVsbC10aXRsZT5KIENsaW4gTWlj
cm9iaW9sPC9mdWxsLXRpdGxlPjwvcGVyaW9kaWNhbD48cGFnZXM+MzA0NC04PC9wYWdlcz48dm9s
dW1lPjUyPC92b2x1bWU+PG51bWJlcj44PC9udW1iZXI+PGVkaXRpb24+MjAxNC8wNC8wNDwvZWRp
dGlvbj48a2V5d29yZHM+PGtleXdvcmQ+QWR1bHQ8L2tleXdvcmQ+PGtleXdvcmQ+QW50aWZ1bmdh
bCBBZ2VudHMvcGhhcm1hY29sb2d5PC9rZXl3b3JkPjxrZXl3b3JkPkNhbmRpZGEvY2hlbWlzdHJ5
LypjbGFzc2lmaWNhdGlvbi9nZW5ldGljcy8qaXNvbGF0aW9uICZhbXA7IHB1cmlmaWNhdGlvbjwv
a2V5d29yZD48a2V5d29yZD5DYW5kaWRlbWlhL2RpYWdub3Npcy8qbWljcm9iaW9sb2d5PC9rZXl3
b3JkPjxrZXl3b3JkPkNoaW5hPC9rZXl3b3JkPjxrZXl3b3JkPkNyb3NzIEluZmVjdGlvbi9kaWFn
bm9zaXMvKm1pY3JvYmlvbG9neTwva2V5d29yZD48a2V5d29yZD5GbHVjb25hem9sZS9waGFybWFj
b2xvZ3k8L2tleXdvcmQ+PGtleXdvcmQ+SG9zcGl0YWxzPC9rZXl3b3JkPjxrZXl3b3JkPkh1bWFu
czwva2V5d29yZD48a2V5d29yZD5NYWxlPC9rZXl3b3JkPjxrZXl3b3JkPk1pY3JvYmlhbCBTZW5z
aXRpdml0eSBUZXN0czwva2V5d29yZD48a2V5d29yZD5NaWRkbGUgQWdlZDwva2V5d29yZD48a2V5
d29yZD5Nb2xlY3VsYXIgU2VxdWVuY2UgRGF0YTwva2V5d29yZD48a2V5d29yZD5STkEsIFJpYm9z
b21hbC9nZW5ldGljczwva2V5d29yZD48a2V5d29yZD5SYW5kb20gQW1wbGlmaWVkIFBvbHltb3Jw
aGljIEROQSBUZWNobmlxdWU8L2tleXdvcmQ+PGtleXdvcmQ+U2VxdWVuY2UgQW5hbHlzaXMsIERO
QTwva2V5d29yZD48a2V5d29yZD5TcGVjdHJvbWV0cnksIE1hc3MsIE1hdHJpeC1Bc3Npc3RlZCBM
YXNlciBEZXNvcnB0aW9uLUlvbml6YXRpb248L2tleXdvcmQ+PC9rZXl3b3Jkcz48ZGF0ZXM+PHll
YXI+MjAxNDwveWVhcj48cHViLWRhdGVzPjxkYXRlPkF1ZzwvZGF0ZT48L3B1Yi1kYXRlcz48L2Rh
dGVzPjxpc2JuPjEwOTgtNjYwWCAoRWxlY3Ryb25pYykmI3hEOzAwOTUtMTEzNyAoTGlua2luZyk8
L2lzYm4+PGFjY2Vzc2lvbi1udW0+MjQ2OTYwMjU8L2FjY2Vzc2lvbi1udW0+PHVybHM+PHJlbGF0
ZWQtdXJscz48dXJsPmh0dHBzOi8vd3d3Lm5jYmkubmxtLm5paC5nb3YvcHVibWVkLzI0Njk2MDI1
PC91cmw+PC9yZWxhdGVkLXVybHM+PC91cmxzPjxjdXN0b20yPlBNQzQxMzYxNDM8L2N1c3RvbTI+
PGVsZWN0cm9uaWMtcmVzb3VyY2UtbnVtPjEwLjExMjgvSkNNLjAwMjQ2LTE0PC9lbGVjdHJvbmlj
LXJlc291cmNlLW51bT48L3JlY29yZD48L0NpdGU+PC9FbmROb3RlPgBAAA==
</w:fldData>
        </w:fldChar>
      </w:r>
      <w:r>
        <w:instrText xml:space="preserve"> ADDIN EN.CITE.DATA </w:instrText>
      </w:r>
      <w:r>
        <w:fldChar w:fldCharType="end"/>
      </w:r>
      <w:r>
        <w:fldChar w:fldCharType="separate"/>
      </w:r>
      <w:r>
        <w:t>[10, 11]</w:t>
      </w:r>
      <w:r>
        <w:fldChar w:fldCharType="end"/>
      </w:r>
      <w:r>
        <w:rPr>
          <w:rFonts w:hint="eastAsia"/>
        </w:rPr>
        <w:t>。因此，三甲医院应考虑在有条件的情况下配备MALDI</w:t>
      </w:r>
      <w:r>
        <w:t>-TOF</w:t>
      </w:r>
      <w:r>
        <w:rPr>
          <w:rFonts w:hint="eastAsia"/>
        </w:rPr>
        <w:t>质谱及测序方法，提高鉴定准确率，缩短临床鉴定时间，为治疗争取更多的宝贵时间。</w:t>
      </w:r>
    </w:p>
    <w:p/>
    <w:p>
      <w:pPr>
        <w:pStyle w:val="4"/>
      </w:pPr>
      <w:bookmarkStart w:id="92" w:name="_Toc519069714"/>
      <w:r>
        <w:rPr>
          <w:rFonts w:hint="eastAsia"/>
        </w:rPr>
        <w:t>涂片镜检开展现状</w:t>
      </w:r>
      <w:bookmarkEnd w:id="92"/>
    </w:p>
    <w:p>
      <w:r>
        <w:rPr>
          <w:rFonts w:hint="eastAsia"/>
        </w:rPr>
        <w:t>作为真菌感染鉴定和诊断最为简便、直接的依据，涂片镜检在临床有着极其广泛的应用。此次调研结果显示，从开展地点上看，参与调研的3</w:t>
      </w:r>
      <w:r>
        <w:t>48</w:t>
      </w:r>
      <w:r>
        <w:rPr>
          <w:rFonts w:hint="eastAsia"/>
        </w:rPr>
        <w:t>家医院全部具备在本院开展涂片镜检的能力，极少医院有外送检测的需求。从染色方法上看，革兰染色法的覆盖率最广，且在各种规模的三甲医院中无分布差异，均达9</w:t>
      </w:r>
      <w:r>
        <w:t>0</w:t>
      </w:r>
      <w:r>
        <w:rPr>
          <w:rFonts w:hint="eastAsia"/>
        </w:rPr>
        <w:t>%以上（</w:t>
      </w:r>
      <w:r>
        <w:fldChar w:fldCharType="begin"/>
      </w:r>
      <w:r>
        <w:instrText xml:space="preserve"> </w:instrText>
      </w:r>
      <w:r>
        <w:rPr>
          <w:rFonts w:hint="eastAsia"/>
        </w:rPr>
        <w:instrText xml:space="preserve">REF _Ref519068092 \h</w:instrText>
      </w:r>
      <w:r>
        <w:instrText xml:space="preserve"> </w:instrText>
      </w:r>
      <w:r>
        <w:fldChar w:fldCharType="separate"/>
      </w:r>
      <w:r>
        <w:rPr>
          <w:rFonts w:hint="eastAsia"/>
        </w:rPr>
        <w:t xml:space="preserve">图 </w:t>
      </w:r>
      <w:r>
        <w:t>23</w:t>
      </w:r>
      <w:r>
        <w:fldChar w:fldCharType="end"/>
      </w:r>
      <w:r>
        <w:rPr>
          <w:rFonts w:hint="eastAsia"/>
        </w:rPr>
        <w:t>）。墨汁染色法的普及率次之（8</w:t>
      </w:r>
      <w:r>
        <w:t>8</w:t>
      </w:r>
      <w:r>
        <w:rPr>
          <w:rFonts w:hint="eastAsia"/>
        </w:rPr>
        <w:t>%），这可能与我国近</w:t>
      </w:r>
      <w:r>
        <w:t>20</w:t>
      </w:r>
      <w:r>
        <w:rPr>
          <w:rFonts w:hint="eastAsia"/>
        </w:rPr>
        <w:t xml:space="preserve">年来不断升高的隐球菌感染流行率相关 </w:t>
      </w:r>
      <w:r>
        <w:fldChar w:fldCharType="begin">
          <w:fldData xml:space="preserve">PEVuZE5vdGU+PENpdGU+PEF1dGhvcj5XdTwvQXV0aG9yPjxZZWFyPjIwMTE8L1llYXI+PFJlY051
bT4yNTwvUmVjTnVtPjxEaXNwbGF5VGV4dD5bMTJdPC9EaXNwbGF5VGV4dD48cmVjb3JkPjxyZWMt
bnVtYmVyPjI1PC9yZWMtbnVtYmVyPjxmb3JlaWduLWtleXM+PGtleSBhcHA9IkVOIiBkYi1pZD0i
d3BzdzVwNXBhcndkOTllNXoyc3AwNWFsZjl4NXZ6OXo1MjBzIiB0aW1lc3RhbXA9IjE1MzEyODcz
MjYiPjI1PC9rZXk+PGtleSBhcHA9IkVOV2ViIiBkYi1pZD0iIj4wPC9rZXk+PC9mb3JlaWduLWtl
eXM+PHJlZi10eXBlIG5hbWU9IkpvdXJuYWwgQXJ0aWNsZSI+MTc8L3JlZi10eXBlPjxjb250cmli
dXRvcnM+PGF1dGhvcnM+PGF1dGhvcj5XdSwgUy4gWC48L2F1dGhvcj48YXV0aG9yPkd1bywgTi4g
Ui48L2F1dGhvcj48YXV0aG9yPkxpLCBYLiBGLjwvYXV0aG9yPjxhdXRob3I+TGlhbywgVy4gUS48
L2F1dGhvcj48YXV0aG9yPkNoZW4sIE0uPC9hdXRob3I+PGF1dGhvcj5aaGFuZywgUS4gUS48L2F1
dGhvcj48YXV0aG9yPkxpLCBDLiBZLjwvYXV0aG9yPjxhdXRob3I+TGksIFIuIFkuPC9hdXRob3I+
PGF1dGhvcj5CdWxtZXIsIEcuIFMuPC9hdXRob3I+PGF1dGhvcj5MaSwgRC4gTS48L2F1dGhvcj48
YXV0aG9yPlhpLCBMLiBZLjwvYXV0aG9yPjxhdXRob3I+THUsIFMuPC9hdXRob3I+PGF1dGhvcj5M
aXUsIEIuPC9hdXRob3I+PGF1dGhvcj5aaGVuZywgWS4gQy48L2F1dGhvcj48YXV0aG9yPlJhbiwg
WS4gUC48L2F1dGhvcj48YXV0aG9yPkt1YW4sIFkuIFouPC9hdXRob3I+PC9hdXRob3JzPjwvY29u
dHJpYnV0b3JzPjxhdXRoLWFkZHJlc3M+TWVkaWNhbCBNeWNvbG9neSBDdWx0dXJlIENvbGxlY3Rp
b24gQ2VudHJlLCBDaGluZXNlIE1pbmlzdHJ5IG9mIFB1YmxpYyBIZWFsdGgsIEluc3RpdHV0ZSBv
ZiBEZXJtYXRvbG9neSwgQ2hpbmVzZSBBY2FkZW15IG9mIE1lZGljYWwgU2NpZW5jZXMgYW5kIFBV
TUMsIDEyIEppYW5nLXdhbi1taWFvIFJvYWQsIE5hbmppbmcsIDIxMDA0MiBKaWFuZ3N1IFByb3Zp
bmNlLCBDaGluYS4gd3VzaGFveGkyMDAxQHlhaG9vLmNvbS5jbjwvYXV0aC1hZGRyZXNzPjx0aXRs
ZXM+PHRpdGxlPkh1bWFuIHBhdGhvZ2VuaWMgZnVuZ2kgaW4gQ2hpbmEtLWVtZXJnaW5nIHRyZW5k
cyBmcm9tIG9uZ29pbmcgbmF0aW9uYWwgc3VydmV5IGZvciAxOTg2LCAxOTk2LCBhbmQgMjAwNjwv
dGl0bGU+PHNlY29uZGFyeS10aXRsZT5NeWNvcGF0aG9sb2dpYTwvc2Vjb25kYXJ5LXRpdGxlPjwv
dGl0bGVzPjxwZXJpb2RpY2FsPjxmdWxsLXRpdGxlPk15Y29wYXRob2xvZ2lhPC9mdWxsLXRpdGxl
PjwvcGVyaW9kaWNhbD48cGFnZXM+Mzg3LTkzPC9wYWdlcz48dm9sdW1lPjE3MTwvdm9sdW1lPjxu
dW1iZXI+NjwvbnVtYmVyPjxlZGl0aW9uPjIwMTEvMDQvMjI8L2VkaXRpb24+PGtleXdvcmRzPjxr
ZXl3b3JkPkFydGhyb2Rlcm1hdGFjZWFlL2lzb2xhdGlvbiAmYW1wOyBwdXJpZmljYXRpb248L2tl
eXdvcmQ+PGtleXdvcmQ+QXNwZXJnaWxsdXMvaXNvbGF0aW9uICZhbXA7IHB1cmlmaWNhdGlvbjwv
a2V5d29yZD48a2V5d29yZD5DYW5kaWRhIGFsYmljYW5zL2lzb2xhdGlvbiAmYW1wOyBwdXJpZmlj
YXRpb248L2tleXdvcmQ+PGtleXdvcmQ+Q2FuZGlkYSBnbGFicmF0YS9pc29sYXRpb24gJmFtcDsg
cHVyaWZpY2F0aW9uPC9rZXl3b3JkPjxrZXl3b3JkPkNoaW5hL2VwaWRlbWlvbG9neTwva2V5d29y
ZD48a2V5d29yZD5IdW1hbnM8L2tleXdvcmQ+PGtleXdvcmQ+TXljb3Nlcy8qZXBpZGVtaW9sb2d5
LyptaWNyb2Jpb2xvZ3k8L2tleXdvcmQ+PGtleXdvcmQ+UmV0cm9zcGVjdGl2ZSBTdHVkaWVzPC9r
ZXl3b3JkPjxrZXl3b3JkPlRhaXdhbi9lcGlkZW1pb2xvZ3k8L2tleXdvcmQ+PGtleXdvcmQ+VHJp
Y2hvcGh5dG9uL2lzb2xhdGlvbiAmYW1wOyBwdXJpZmljYXRpb248L2tleXdvcmQ+PC9rZXl3b3Jk
cz48ZGF0ZXM+PHllYXI+MjAxMTwveWVhcj48cHViLWRhdGVzPjxkYXRlPkp1bjwvZGF0ZT48L3B1
Yi1kYXRlcz48L2RhdGVzPjxpc2JuPjE1NzMtMDgzMiAoRWxlY3Ryb25pYykmI3hEOzAzMDEtNDg2
WCAoTGlua2luZyk8L2lzYm4+PGFjY2Vzc2lvbi1udW0+MjE1MDk1MTc8L2FjY2Vzc2lvbi1udW0+
PHVybHM+PHJlbGF0ZWQtdXJscz48dXJsPmh0dHBzOi8vd3d3Lm5jYmkubmxtLm5paC5nb3YvcHVi
bWVkLzIxNTA5NTE3PC91cmw+PC9yZWxhdGVkLXVybHM+PC91cmxzPjxlbGVjdHJvbmljLXJlc291
cmNlLW51bT4xMC4xMDA3L3MxMTA0Ni0wMTEtOTM5OC02PC9lbGVjdHJvbmljLXJlc291cmNlLW51
bT48L3JlY29yZD48L0NpdGU+PC9FbmROb3RlPnAA
</w:fldData>
        </w:fldChar>
      </w:r>
      <w:r>
        <w:instrText xml:space="preserve"> ADDIN EN.CITE </w:instrText>
      </w:r>
      <w:r>
        <w:fldChar w:fldCharType="begin">
          <w:fldData xml:space="preserve">PEVuZE5vdGU+PENpdGU+PEF1dGhvcj5XdTwvQXV0aG9yPjxZZWFyPjIwMTE8L1llYXI+PFJlY051
bT4yNTwvUmVjTnVtPjxEaXNwbGF5VGV4dD5bMTJdPC9EaXNwbGF5VGV4dD48cmVjb3JkPjxyZWMt
bnVtYmVyPjI1PC9yZWMtbnVtYmVyPjxmb3JlaWduLWtleXM+PGtleSBhcHA9IkVOIiBkYi1pZD0i
d3BzdzVwNXBhcndkOTllNXoyc3AwNWFsZjl4NXZ6OXo1MjBzIiB0aW1lc3RhbXA9IjE1MzEyODcz
MjYiPjI1PC9rZXk+PGtleSBhcHA9IkVOV2ViIiBkYi1pZD0iIj4wPC9rZXk+PC9mb3JlaWduLWtl
eXM+PHJlZi10eXBlIG5hbWU9IkpvdXJuYWwgQXJ0aWNsZSI+MTc8L3JlZi10eXBlPjxjb250cmli
dXRvcnM+PGF1dGhvcnM+PGF1dGhvcj5XdSwgUy4gWC48L2F1dGhvcj48YXV0aG9yPkd1bywgTi4g
Ui48L2F1dGhvcj48YXV0aG9yPkxpLCBYLiBGLjwvYXV0aG9yPjxhdXRob3I+TGlhbywgVy4gUS48
L2F1dGhvcj48YXV0aG9yPkNoZW4sIE0uPC9hdXRob3I+PGF1dGhvcj5aaGFuZywgUS4gUS48L2F1
dGhvcj48YXV0aG9yPkxpLCBDLiBZLjwvYXV0aG9yPjxhdXRob3I+TGksIFIuIFkuPC9hdXRob3I+
PGF1dGhvcj5CdWxtZXIsIEcuIFMuPC9hdXRob3I+PGF1dGhvcj5MaSwgRC4gTS48L2F1dGhvcj48
YXV0aG9yPlhpLCBMLiBZLjwvYXV0aG9yPjxhdXRob3I+THUsIFMuPC9hdXRob3I+PGF1dGhvcj5M
aXUsIEIuPC9hdXRob3I+PGF1dGhvcj5aaGVuZywgWS4gQy48L2F1dGhvcj48YXV0aG9yPlJhbiwg
WS4gUC48L2F1dGhvcj48YXV0aG9yPkt1YW4sIFkuIFouPC9hdXRob3I+PC9hdXRob3JzPjwvY29u
dHJpYnV0b3JzPjxhdXRoLWFkZHJlc3M+TWVkaWNhbCBNeWNvbG9neSBDdWx0dXJlIENvbGxlY3Rp
b24gQ2VudHJlLCBDaGluZXNlIE1pbmlzdHJ5IG9mIFB1YmxpYyBIZWFsdGgsIEluc3RpdHV0ZSBv
ZiBEZXJtYXRvbG9neSwgQ2hpbmVzZSBBY2FkZW15IG9mIE1lZGljYWwgU2NpZW5jZXMgYW5kIFBV
TUMsIDEyIEppYW5nLXdhbi1taWFvIFJvYWQsIE5hbmppbmcsIDIxMDA0MiBKaWFuZ3N1IFByb3Zp
bmNlLCBDaGluYS4gd3VzaGFveGkyMDAxQHlhaG9vLmNvbS5jbjwvYXV0aC1hZGRyZXNzPjx0aXRs
ZXM+PHRpdGxlPkh1bWFuIHBhdGhvZ2VuaWMgZnVuZ2kgaW4gQ2hpbmEtLWVtZXJnaW5nIHRyZW5k
cyBmcm9tIG9uZ29pbmcgbmF0aW9uYWwgc3VydmV5IGZvciAxOTg2LCAxOTk2LCBhbmQgMjAwNjwv
dGl0bGU+PHNlY29uZGFyeS10aXRsZT5NeWNvcGF0aG9sb2dpYTwvc2Vjb25kYXJ5LXRpdGxlPjwv
dGl0bGVzPjxwZXJpb2RpY2FsPjxmdWxsLXRpdGxlPk15Y29wYXRob2xvZ2lhPC9mdWxsLXRpdGxl
PjwvcGVyaW9kaWNhbD48cGFnZXM+Mzg3LTkzPC9wYWdlcz48dm9sdW1lPjE3MTwvdm9sdW1lPjxu
dW1iZXI+NjwvbnVtYmVyPjxlZGl0aW9uPjIwMTEvMDQvMjI8L2VkaXRpb24+PGtleXdvcmRzPjxr
ZXl3b3JkPkFydGhyb2Rlcm1hdGFjZWFlL2lzb2xhdGlvbiAmYW1wOyBwdXJpZmljYXRpb248L2tl
eXdvcmQ+PGtleXdvcmQ+QXNwZXJnaWxsdXMvaXNvbGF0aW9uICZhbXA7IHB1cmlmaWNhdGlvbjwv
a2V5d29yZD48a2V5d29yZD5DYW5kaWRhIGFsYmljYW5zL2lzb2xhdGlvbiAmYW1wOyBwdXJpZmlj
YXRpb248L2tleXdvcmQ+PGtleXdvcmQ+Q2FuZGlkYSBnbGFicmF0YS9pc29sYXRpb24gJmFtcDsg
cHVyaWZpY2F0aW9uPC9rZXl3b3JkPjxrZXl3b3JkPkNoaW5hL2VwaWRlbWlvbG9neTwva2V5d29y
ZD48a2V5d29yZD5IdW1hbnM8L2tleXdvcmQ+PGtleXdvcmQ+TXljb3Nlcy8qZXBpZGVtaW9sb2d5
LyptaWNyb2Jpb2xvZ3k8L2tleXdvcmQ+PGtleXdvcmQ+UmV0cm9zcGVjdGl2ZSBTdHVkaWVzPC9r
ZXl3b3JkPjxrZXl3b3JkPlRhaXdhbi9lcGlkZW1pb2xvZ3k8L2tleXdvcmQ+PGtleXdvcmQ+VHJp
Y2hvcGh5dG9uL2lzb2xhdGlvbiAmYW1wOyBwdXJpZmljYXRpb248L2tleXdvcmQ+PC9rZXl3b3Jk
cz48ZGF0ZXM+PHllYXI+MjAxMTwveWVhcj48cHViLWRhdGVzPjxkYXRlPkp1bjwvZGF0ZT48L3B1
Yi1kYXRlcz48L2RhdGVzPjxpc2JuPjE1NzMtMDgzMiAoRWxlY3Ryb25pYykmI3hEOzAzMDEtNDg2
WCAoTGlua2luZyk8L2lzYm4+PGFjY2Vzc2lvbi1udW0+MjE1MDk1MTc8L2FjY2Vzc2lvbi1udW0+
PHVybHM+PHJlbGF0ZWQtdXJscz48dXJsPmh0dHBzOi8vd3d3Lm5jYmkubmxtLm5paC5nb3YvcHVi
bWVkLzIxNTA5NTE3PC91cmw+PC9yZWxhdGVkLXVybHM+PC91cmxzPjxlbGVjdHJvbmljLXJlc291
cmNlLW51bT4xMC4xMDA3L3MxMTA0Ni0wMTEtOTM5OC02PC9lbGVjdHJvbmljLXJlc291cmNlLW51
bT48L3JlY29yZD48L0NpdGU+PC9FbmROb3RlPnAA
</w:fldData>
        </w:fldChar>
      </w:r>
      <w:r>
        <w:instrText xml:space="preserve"> ADDIN EN.CITE.DATA </w:instrText>
      </w:r>
      <w:r>
        <w:fldChar w:fldCharType="end"/>
      </w:r>
      <w:r>
        <w:fldChar w:fldCharType="separate"/>
      </w:r>
      <w:r>
        <w:t>[12]</w:t>
      </w:r>
      <w:r>
        <w:fldChar w:fldCharType="end"/>
      </w:r>
      <w:r>
        <w:rPr>
          <w:rFonts w:hint="eastAsia"/>
        </w:rPr>
        <w:t>；中国侵袭性真菌耐药监测网（CHIF</w:t>
      </w:r>
      <w:r>
        <w:t>-NET</w:t>
      </w:r>
      <w:r>
        <w:rPr>
          <w:rFonts w:hint="eastAsia"/>
        </w:rPr>
        <w:t>）2</w:t>
      </w:r>
      <w:r>
        <w:t>012</w:t>
      </w:r>
      <w:r>
        <w:rPr>
          <w:rFonts w:hint="eastAsia"/>
        </w:rPr>
        <w:t>年文献报道，隐球菌已成为我国侵袭性酵母菌感染中仅次于念珠菌的第二大病原体（7</w:t>
      </w:r>
      <w:r>
        <w:t>.7</w:t>
      </w:r>
      <w:r>
        <w:rPr>
          <w:rFonts w:hint="eastAsia"/>
        </w:rPr>
        <w:t xml:space="preserve">%） </w:t>
      </w:r>
      <w:r>
        <w:fldChar w:fldCharType="begin">
          <w:fldData xml:space="preserve">PEVuZE5vdGU+PENpdGU+PEF1dGhvcj5YaWFvPC9BdXRob3I+PFllYXI+MjAxNTwvWWVhcj48UmVj
TnVtPjg8L1JlY051bT48RGlzcGxheVRleHQ+WzEzXTwvRGlzcGxheVRleHQ+PHJlY29yZD48cmVj
LW51bWJlcj44PC9yZWMtbnVtYmVyPjxmb3JlaWduLWtleXM+PGtleSBhcHA9IkVOIiBkYi1pZD0i
d3BzdzVwNXBhcndkOTllNXoyc3AwNWFsZjl4NXZ6OXo1MjBzIiB0aW1lc3RhbXA9IjE1MzAwMDkx
ODUiPjg8L2tleT48a2V5IGFwcD0iRU5XZWIiIGRiLWlkPSIiPjA8L2tleT48L2ZvcmVpZ24ta2V5
cz48cmVmLXR5cGUgbmFtZT0iSm91cm5hbCBBcnRpY2xlIj4xNzwvcmVmLXR5cGU+PGNvbnRyaWJ1
dG9ycz48YXV0aG9ycz48YXV0aG9yPlhpYW8sIE0uPC9hdXRob3I+PGF1dGhvcj5GYW4sIFguPC9h
dXRob3I+PGF1dGhvcj5DaGVuLCBTLiBDLjwvYXV0aG9yPjxhdXRob3I+V2FuZywgSC48L2F1dGhv
cj48YXV0aG9yPlN1biwgWi4gWS48L2F1dGhvcj48YXV0aG9yPkxpYW8sIEsuPC9hdXRob3I+PGF1
dGhvcj5DaGVuLCBTLiBMLjwvYXV0aG9yPjxhdXRob3I+WWFuLCBZLjwvYXV0aG9yPjxhdXRob3I+
S2FuZywgTS48L2F1dGhvcj48YXV0aG9yPkh1LCBaLiBELjwvYXV0aG9yPjxhdXRob3I+Q2h1LCBZ
LiBaLjwvYXV0aG9yPjxhdXRob3I+SHUsIFQuIFMuPC9hdXRob3I+PGF1dGhvcj5OaSwgWS4gWC48
L2F1dGhvcj48YXV0aG9yPlpvdSwgRy4gTC48L2F1dGhvcj48YXV0aG9yPktvbmcsIEYuPC9hdXRo
b3I+PGF1dGhvcj5YdSwgWS4gQy48L2F1dGhvcj48L2F1dGhvcnM+PC9jb250cmlidXRvcnM+PGF1
dGgtYWRkcmVzcz5EZXBhcnRtZW50IG9mIENsaW5pY2FsIExhYm9yYXRvcnksIFBla2luZyBVbmlv
biBNZWRpY2FsIENvbGxlZ2UgSG9zcGl0YWwsIEJlaWppbmcsIENoaW5hLiYjeEQ7RGVwYXJ0bWVu
dCBvZiBDbGluaWNhbCBMYWJvcmF0b3J5LCBQZWtpbmcgVW5pb24gTWVkaWNhbCBDb2xsZWdlIEhv
c3BpdGFsLCBCZWlqaW5nLCBDaGluYSBHcmFkdWF0ZSBTY2hvb2wsIFBla2luZyBVbmlvbiBNZWRp
Y2FsIENvbGxlZ2UsIENoaW5lc2UgQWNhZGVteSBvZiBNZWRpY2FsIFNjaWVuY2VzLCBCZWlqaW5n
LCBDaGluYS4mI3hEO0NlbnRyZSBmb3IgSW5mZWN0aW91cyBEaXNlYXNlcyBhbmQgTWljcm9iaW9s
b2d5IExhYm9yYXRvcnkgU2VydmljZXMsIElDUE1SIC0gUGF0aG9sb2d5IFdlc3QsIFdlc3RtZWFk
IEhvc3BpdGFsLCBVbml2ZXJzaXR5IG9mIFN5ZG5leSwgTmV3IFNvdXRoIFdhbGVzLCBBdXN0cmFs
aWEuJiN4RDtEZXBhcnRtZW50IG9mIENsaW5pY2FsIExhYm9yYXRvcnksIFRvbmdqaSBIb3NwaXRh
bCwgVG9uZ2ppIE1lZGljYWwgQ29sbGVnZSwgSHVhemhvbmcgVW5pdmVyc2l0eSBvZiBTY2llbmNl
IGFuZCBUZWNobm9sb2d5LCBXdWhhbiwgQ2hpbmEuJiN4RDtEZXBhcnRtZW50IG9mIENsaW5pY2Fs
IExhYm9yYXRvcnksIFRoZSBGaXJzdCBBZmZpbGlhdGVkIEhvc3BpdGFsIG9mIFN1biBZYXQtU2Vu
IFVuaXZlcnNpdHksIEd1YW5nemhvdSwgQ2hpbmEuJiN4RDtEZXBhcnRtZW50IG9mIENsaW5pY2Fs
IExhYm9yYXRvcnksIFRoZSBGaXJzdCBBZmZpbGlhdGVkIEhvc3BpdGFsIG9mIEhhcmJpbiBNZWRp
Y2FsIFVuaXZlcnNpdHksIEhhcmJpbiwgQ2hpbmEuJiN4RDtEZXBhcnRtZW50IG9mIENsaW5pY2Fs
IExhYm9yYXRvcnksIFBla2luZyBVbml2ZXJzaXR5IEZpcnN0IEhvc3BpdGFsLCBCZWlqaW5nLCBD
aGluYS4mI3hEO0xhYm9yYXRvcnkgb2YgQ2xpbmljYWwgTWljcm9iaW9sb2d5LCBXZXN0IENoaW5h
IEhvc3BpdGFsLCBTaWNodWFuIFVuaXZlcnNpdHksIENoZW5nZHUsIENoaW5hLiYjeEQ7RGVwYXJ0
bWVudCBvZiBDbGluaWNhbCBMYWJvcmF0b3J5LCBUaWFuamluIE1lZGljYWwgVW5pdmVyc2l0eSBH
ZW5lcmFsIEhvc3BpdGFsLCBUaWFuamluLCBDaGluYS4mI3hEO0RlcGFydG1lbnQgb2YgQ2xpbmlj
YWwgTGFib3JhdG9yeSwgVGhlIEZpcnN0IEhvc3BpdGFsIG9mIENoaW5hIE1lZGljYWwgVW5pdmVy
c2l0eSwgU2hlbnlhbmcsIENoaW5hLiYjeEQ7RGVwYXJ0bWVudCBvZiBDbGluaWNhbCBMYWJvcmF0
b3J5LCBUaGUgUGVvcGxlJmFwb3M7cyBIb3NwaXRhbCBvZiBMaWFvbmluZyBQcm92aW5jZSwgU2hl
bnlhbmcsIENoaW5hLiYjeEQ7RGVwYXJ0bWVudCBvZiBDbGluaWNhbCBNaWNyb2Jpb2xvZ3kgYW5k
IEluZmVjdGlvbiBDb250cm9sLCBSdWlqaW4gSG9zcGl0YWwgQWZmaWxpYXRlZCB0byBTY2hvb2wg
b2YgTWVkaWNpbmUsIFNoYW5naGFpIEppYW90b25nIFVuaXZlcnNpdHksIFNoYW5naGFpLCBDaGlu
YS4mI3hEO0RlcGFydG1lbnQgb2YgQ2xpbmljYWwgTGFib3JhdG9yeSwgVGhlIEZvdXJ0aCBBZmZp
bGlhdGVkIEhvc3BpdGFsIG9mIEhhcmJpbiBNZWRpY2FsIFVuaXZlcnNpdHksIEhhcmJpbiwgQ2hp
bmEuJiN4RDtEZXBhcnRtZW50IG9mIENsaW5pY2FsIExhYm9yYXRvcnksIFBla2luZyBVbmlvbiBN
ZWRpY2FsIENvbGxlZ2UgSG9zcGl0YWwsIEJlaWppbmcsIENoaW5hIHh5Y3B1bWNoQDEzOS5jb20u
PC9hdXRoLWFkZHJlc3M+PHRpdGxlcz48dGl0bGU+QW50aWZ1bmdhbCBzdXNjZXB0aWJpbGl0aWVz
IG9mIENhbmRpZGEgZ2xhYnJhdGEgc3BlY2llcyBjb21wbGV4LCBDYW5kaWRhIGtydXNlaSwgQ2Fu
ZGlkYSBwYXJhcHNpbG9zaXMgc3BlY2llcyBjb21wbGV4IGFuZCBDYW5kaWRhIHRyb3BpY2FsaXMg
Y2F1c2luZyBpbnZhc2l2ZSBjYW5kaWRpYXNpcyBpbiBDaGluYTogMyB5ZWFyIG5hdGlvbmFsIHN1
cnZlaWxsYW5jZTwvdGl0bGU+PHNlY29uZGFyeS10aXRsZT5KIEFudGltaWNyb2IgQ2hlbW90aGVy
PC9zZWNvbmRhcnktdGl0bGU+PC90aXRsZXM+PHBlcmlvZGljYWw+PGZ1bGwtdGl0bGU+SiBBbnRp
bWljcm9iIENoZW1vdGhlcjwvZnVsbC10aXRsZT48L3BlcmlvZGljYWw+PHBhZ2VzPjgwMi0xMDwv
cGFnZXM+PHZvbHVtZT43MDwvdm9sdW1lPjxudW1iZXI+MzwvbnVtYmVyPjxlZGl0aW9uPjIwMTQv
MTIvMDU8L2VkaXRpb24+PGtleXdvcmRzPjxrZXl3b3JkPkFudGlmdW5nYWwgQWdlbnRzLypwaGFy
bWFjb2xvZ3k8L2tleXdvcmQ+PGtleXdvcmQ+Q2FuZGlkYS9jbGFzc2lmaWNhdGlvbi8qZHJ1ZyBl
ZmZlY3RzL2lzb2xhdGlvbiAmYW1wOyBwdXJpZmljYXRpb248L2tleXdvcmQ+PGtleXdvcmQ+Q2Fu
ZGlkaWFzaXMsIEludmFzaXZlL2VwaWRlbWlvbG9neS8qbWljcm9iaW9sb2d5PC9rZXl3b3JkPjxr
ZXl3b3JkPkNoaW5hL2VwaWRlbWlvbG9neTwva2V5d29yZD48a2V5d29yZD5EcnVnIFJlc2lzdGFu
Y2UsIEZ1bmdhbDwva2V5d29yZD48a2V5d29yZD5FcGlkZW1pb2xvZ2ljYWwgTW9uaXRvcmluZzwv
a2V5d29yZD48a2V5d29yZD5Ib3NwaXRhbHM8L2tleXdvcmQ+PGtleXdvcmQ+SHVtYW5zPC9rZXl3
b3JkPjxrZXl3b3JkPk1pY3JvYmlhbCBTZW5zaXRpdml0eSBUZXN0czwva2V5d29yZD48a2V5d29y
ZD5QcmV2YWxlbmNlPC9rZXl3b3JkPjxrZXl3b3JkPlByb3NwZWN0aXZlIFN0dWRpZXM8L2tleXdv
cmQ+PGtleXdvcmQ+U2VxdWVuY2UgQW5hbHlzaXMsIEROQTwva2V5d29yZD48a2V5d29yZD5TcGVj
dHJvbWV0cnksIE1hc3MsIE1hdHJpeC1Bc3Npc3RlZCBMYXNlciBEZXNvcnB0aW9uLUlvbml6YXRp
b248L2tleXdvcmQ+PGtleXdvcmQ+Qy4gZ2xhYnJhdGEgc3BlY2llcyBjb21wbGV4PC9rZXl3b3Jk
PjxrZXl3b3JkPkMuIGtydXNlaTwva2V5d29yZD48a2V5d29yZD5DLiBwYXJhcHNpbG9zaXMgc3Bl
Y2llcyBjb21wbGV4PC9rZXl3b3JkPjxrZXl3b3JkPkMuIHRyb3BpY2FsaXM8L2tleXdvcmQ+PGtl
eXdvcmQ+Q2hpbmEgSG9zcGl0YWwgSW52YXNpdmUgRnVuZ2FsIFN1cnZlaWxsYW5jZSBOZXQgKENI
SUYtTkVUKTwva2V5d29yZD48a2V5d29yZD5hbnRpZnVuZ2FsIHN1c2NlcHRpYmlsaXR5PC9rZXl3
b3JkPjxrZXl3b3JkPm5vbi1hbGJpY2FucyBDYW5kaWRhIHNwZWNpZXMvc3BlY2llcyBjb21wbGV4
ZXM8L2tleXdvcmQ+PC9rZXl3b3Jkcz48ZGF0ZXM+PHllYXI+MjAxNTwveWVhcj48cHViLWRhdGVz
PjxkYXRlPk1hcjwvZGF0ZT48L3B1Yi1kYXRlcz48L2RhdGVzPjxpc2JuPjE0NjAtMjA5MSAoRWxl
Y3Ryb25pYykmI3hEOzAzMDUtNzQ1MyAoTGlua2luZyk8L2lzYm4+PGFjY2Vzc2lvbi1udW0+MjU0
NzMwMjc8L2FjY2Vzc2lvbi1udW0+PHVybHM+PHJlbGF0ZWQtdXJscz48dXJsPmh0dHBzOi8vd3d3
Lm5jYmkubmxtLm5paC5nb3YvcHVibWVkLzI1NDczMDI3PC91cmw+PC9yZWxhdGVkLXVybHM+PC91
cmxzPjxlbGVjdHJvbmljLXJlc291cmNlLW51bT4xMC4xMDkzL2phYy9ka3U0NjA8L2VsZWN0cm9u
aWMtcmVzb3VyY2UtbnVtPjwvcmVjb3JkPjwvQ2l0ZT48L0VuZE5vdGU+AGAA
</w:fldData>
        </w:fldChar>
      </w:r>
      <w:r>
        <w:instrText xml:space="preserve"> ADDIN EN.CITE </w:instrText>
      </w:r>
      <w:r>
        <w:fldChar w:fldCharType="begin">
          <w:fldData xml:space="preserve">PEVuZE5vdGU+PENpdGU+PEF1dGhvcj5YaWFvPC9BdXRob3I+PFllYXI+MjAxNTwvWWVhcj48UmVj
TnVtPjg8L1JlY051bT48RGlzcGxheVRleHQ+WzEzXTwvRGlzcGxheVRleHQ+PHJlY29yZD48cmVj
LW51bWJlcj44PC9yZWMtbnVtYmVyPjxmb3JlaWduLWtleXM+PGtleSBhcHA9IkVOIiBkYi1pZD0i
d3BzdzVwNXBhcndkOTllNXoyc3AwNWFsZjl4NXZ6OXo1MjBzIiB0aW1lc3RhbXA9IjE1MzAwMDkx
ODUiPjg8L2tleT48a2V5IGFwcD0iRU5XZWIiIGRiLWlkPSIiPjA8L2tleT48L2ZvcmVpZ24ta2V5
cz48cmVmLXR5cGUgbmFtZT0iSm91cm5hbCBBcnRpY2xlIj4xNzwvcmVmLXR5cGU+PGNvbnRyaWJ1
dG9ycz48YXV0aG9ycz48YXV0aG9yPlhpYW8sIE0uPC9hdXRob3I+PGF1dGhvcj5GYW4sIFguPC9h
dXRob3I+PGF1dGhvcj5DaGVuLCBTLiBDLjwvYXV0aG9yPjxhdXRob3I+V2FuZywgSC48L2F1dGhv
cj48YXV0aG9yPlN1biwgWi4gWS48L2F1dGhvcj48YXV0aG9yPkxpYW8sIEsuPC9hdXRob3I+PGF1
dGhvcj5DaGVuLCBTLiBMLjwvYXV0aG9yPjxhdXRob3I+WWFuLCBZLjwvYXV0aG9yPjxhdXRob3I+
S2FuZywgTS48L2F1dGhvcj48YXV0aG9yPkh1LCBaLiBELjwvYXV0aG9yPjxhdXRob3I+Q2h1LCBZ
LiBaLjwvYXV0aG9yPjxhdXRob3I+SHUsIFQuIFMuPC9hdXRob3I+PGF1dGhvcj5OaSwgWS4gWC48
L2F1dGhvcj48YXV0aG9yPlpvdSwgRy4gTC48L2F1dGhvcj48YXV0aG9yPktvbmcsIEYuPC9hdXRo
b3I+PGF1dGhvcj5YdSwgWS4gQy48L2F1dGhvcj48L2F1dGhvcnM+PC9jb250cmlidXRvcnM+PGF1
dGgtYWRkcmVzcz5EZXBhcnRtZW50IG9mIENsaW5pY2FsIExhYm9yYXRvcnksIFBla2luZyBVbmlv
biBNZWRpY2FsIENvbGxlZ2UgSG9zcGl0YWwsIEJlaWppbmcsIENoaW5hLiYjeEQ7RGVwYXJ0bWVu
dCBvZiBDbGluaWNhbCBMYWJvcmF0b3J5LCBQZWtpbmcgVW5pb24gTWVkaWNhbCBDb2xsZWdlIEhv
c3BpdGFsLCBCZWlqaW5nLCBDaGluYSBHcmFkdWF0ZSBTY2hvb2wsIFBla2luZyBVbmlvbiBNZWRp
Y2FsIENvbGxlZ2UsIENoaW5lc2UgQWNhZGVteSBvZiBNZWRpY2FsIFNjaWVuY2VzLCBCZWlqaW5n
LCBDaGluYS4mI3hEO0NlbnRyZSBmb3IgSW5mZWN0aW91cyBEaXNlYXNlcyBhbmQgTWljcm9iaW9s
b2d5IExhYm9yYXRvcnkgU2VydmljZXMsIElDUE1SIC0gUGF0aG9sb2d5IFdlc3QsIFdlc3RtZWFk
IEhvc3BpdGFsLCBVbml2ZXJzaXR5IG9mIFN5ZG5leSwgTmV3IFNvdXRoIFdhbGVzLCBBdXN0cmFs
aWEuJiN4RDtEZXBhcnRtZW50IG9mIENsaW5pY2FsIExhYm9yYXRvcnksIFRvbmdqaSBIb3NwaXRh
bCwgVG9uZ2ppIE1lZGljYWwgQ29sbGVnZSwgSHVhemhvbmcgVW5pdmVyc2l0eSBvZiBTY2llbmNl
IGFuZCBUZWNobm9sb2d5LCBXdWhhbiwgQ2hpbmEuJiN4RDtEZXBhcnRtZW50IG9mIENsaW5pY2Fs
IExhYm9yYXRvcnksIFRoZSBGaXJzdCBBZmZpbGlhdGVkIEhvc3BpdGFsIG9mIFN1biBZYXQtU2Vu
IFVuaXZlcnNpdHksIEd1YW5nemhvdSwgQ2hpbmEuJiN4RDtEZXBhcnRtZW50IG9mIENsaW5pY2Fs
IExhYm9yYXRvcnksIFRoZSBGaXJzdCBBZmZpbGlhdGVkIEhvc3BpdGFsIG9mIEhhcmJpbiBNZWRp
Y2FsIFVuaXZlcnNpdHksIEhhcmJpbiwgQ2hpbmEuJiN4RDtEZXBhcnRtZW50IG9mIENsaW5pY2Fs
IExhYm9yYXRvcnksIFBla2luZyBVbml2ZXJzaXR5IEZpcnN0IEhvc3BpdGFsLCBCZWlqaW5nLCBD
aGluYS4mI3hEO0xhYm9yYXRvcnkgb2YgQ2xpbmljYWwgTWljcm9iaW9sb2d5LCBXZXN0IENoaW5h
IEhvc3BpdGFsLCBTaWNodWFuIFVuaXZlcnNpdHksIENoZW5nZHUsIENoaW5hLiYjeEQ7RGVwYXJ0
bWVudCBvZiBDbGluaWNhbCBMYWJvcmF0b3J5LCBUaWFuamluIE1lZGljYWwgVW5pdmVyc2l0eSBH
ZW5lcmFsIEhvc3BpdGFsLCBUaWFuamluLCBDaGluYS4mI3hEO0RlcGFydG1lbnQgb2YgQ2xpbmlj
YWwgTGFib3JhdG9yeSwgVGhlIEZpcnN0IEhvc3BpdGFsIG9mIENoaW5hIE1lZGljYWwgVW5pdmVy
c2l0eSwgU2hlbnlhbmcsIENoaW5hLiYjeEQ7RGVwYXJ0bWVudCBvZiBDbGluaWNhbCBMYWJvcmF0
b3J5LCBUaGUgUGVvcGxlJmFwb3M7cyBIb3NwaXRhbCBvZiBMaWFvbmluZyBQcm92aW5jZSwgU2hl
bnlhbmcsIENoaW5hLiYjeEQ7RGVwYXJ0bWVudCBvZiBDbGluaWNhbCBNaWNyb2Jpb2xvZ3kgYW5k
IEluZmVjdGlvbiBDb250cm9sLCBSdWlqaW4gSG9zcGl0YWwgQWZmaWxpYXRlZCB0byBTY2hvb2wg
b2YgTWVkaWNpbmUsIFNoYW5naGFpIEppYW90b25nIFVuaXZlcnNpdHksIFNoYW5naGFpLCBDaGlu
YS4mI3hEO0RlcGFydG1lbnQgb2YgQ2xpbmljYWwgTGFib3JhdG9yeSwgVGhlIEZvdXJ0aCBBZmZp
bGlhdGVkIEhvc3BpdGFsIG9mIEhhcmJpbiBNZWRpY2FsIFVuaXZlcnNpdHksIEhhcmJpbiwgQ2hp
bmEuJiN4RDtEZXBhcnRtZW50IG9mIENsaW5pY2FsIExhYm9yYXRvcnksIFBla2luZyBVbmlvbiBN
ZWRpY2FsIENvbGxlZ2UgSG9zcGl0YWwsIEJlaWppbmcsIENoaW5hIHh5Y3B1bWNoQDEzOS5jb20u
PC9hdXRoLWFkZHJlc3M+PHRpdGxlcz48dGl0bGU+QW50aWZ1bmdhbCBzdXNjZXB0aWJpbGl0aWVz
IG9mIENhbmRpZGEgZ2xhYnJhdGEgc3BlY2llcyBjb21wbGV4LCBDYW5kaWRhIGtydXNlaSwgQ2Fu
ZGlkYSBwYXJhcHNpbG9zaXMgc3BlY2llcyBjb21wbGV4IGFuZCBDYW5kaWRhIHRyb3BpY2FsaXMg
Y2F1c2luZyBpbnZhc2l2ZSBjYW5kaWRpYXNpcyBpbiBDaGluYTogMyB5ZWFyIG5hdGlvbmFsIHN1
cnZlaWxsYW5jZTwvdGl0bGU+PHNlY29uZGFyeS10aXRsZT5KIEFudGltaWNyb2IgQ2hlbW90aGVy
PC9zZWNvbmRhcnktdGl0bGU+PC90aXRsZXM+PHBlcmlvZGljYWw+PGZ1bGwtdGl0bGU+SiBBbnRp
bWljcm9iIENoZW1vdGhlcjwvZnVsbC10aXRsZT48L3BlcmlvZGljYWw+PHBhZ2VzPjgwMi0xMDwv
cGFnZXM+PHZvbHVtZT43MDwvdm9sdW1lPjxudW1iZXI+MzwvbnVtYmVyPjxlZGl0aW9uPjIwMTQv
MTIvMDU8L2VkaXRpb24+PGtleXdvcmRzPjxrZXl3b3JkPkFudGlmdW5nYWwgQWdlbnRzLypwaGFy
bWFjb2xvZ3k8L2tleXdvcmQ+PGtleXdvcmQ+Q2FuZGlkYS9jbGFzc2lmaWNhdGlvbi8qZHJ1ZyBl
ZmZlY3RzL2lzb2xhdGlvbiAmYW1wOyBwdXJpZmljYXRpb248L2tleXdvcmQ+PGtleXdvcmQ+Q2Fu
ZGlkaWFzaXMsIEludmFzaXZlL2VwaWRlbWlvbG9neS8qbWljcm9iaW9sb2d5PC9rZXl3b3JkPjxr
ZXl3b3JkPkNoaW5hL2VwaWRlbWlvbG9neTwva2V5d29yZD48a2V5d29yZD5EcnVnIFJlc2lzdGFu
Y2UsIEZ1bmdhbDwva2V5d29yZD48a2V5d29yZD5FcGlkZW1pb2xvZ2ljYWwgTW9uaXRvcmluZzwv
a2V5d29yZD48a2V5d29yZD5Ib3NwaXRhbHM8L2tleXdvcmQ+PGtleXdvcmQ+SHVtYW5zPC9rZXl3
b3JkPjxrZXl3b3JkPk1pY3JvYmlhbCBTZW5zaXRpdml0eSBUZXN0czwva2V5d29yZD48a2V5d29y
ZD5QcmV2YWxlbmNlPC9rZXl3b3JkPjxrZXl3b3JkPlByb3NwZWN0aXZlIFN0dWRpZXM8L2tleXdv
cmQ+PGtleXdvcmQ+U2VxdWVuY2UgQW5hbHlzaXMsIEROQTwva2V5d29yZD48a2V5d29yZD5TcGVj
dHJvbWV0cnksIE1hc3MsIE1hdHJpeC1Bc3Npc3RlZCBMYXNlciBEZXNvcnB0aW9uLUlvbml6YXRp
b248L2tleXdvcmQ+PGtleXdvcmQ+Qy4gZ2xhYnJhdGEgc3BlY2llcyBjb21wbGV4PC9rZXl3b3Jk
PjxrZXl3b3JkPkMuIGtydXNlaTwva2V5d29yZD48a2V5d29yZD5DLiBwYXJhcHNpbG9zaXMgc3Bl
Y2llcyBjb21wbGV4PC9rZXl3b3JkPjxrZXl3b3JkPkMuIHRyb3BpY2FsaXM8L2tleXdvcmQ+PGtl
eXdvcmQ+Q2hpbmEgSG9zcGl0YWwgSW52YXNpdmUgRnVuZ2FsIFN1cnZlaWxsYW5jZSBOZXQgKENI
SUYtTkVUKTwva2V5d29yZD48a2V5d29yZD5hbnRpZnVuZ2FsIHN1c2NlcHRpYmlsaXR5PC9rZXl3
b3JkPjxrZXl3b3JkPm5vbi1hbGJpY2FucyBDYW5kaWRhIHNwZWNpZXMvc3BlY2llcyBjb21wbGV4
ZXM8L2tleXdvcmQ+PC9rZXl3b3Jkcz48ZGF0ZXM+PHllYXI+MjAxNTwveWVhcj48cHViLWRhdGVz
PjxkYXRlPk1hcjwvZGF0ZT48L3B1Yi1kYXRlcz48L2RhdGVzPjxpc2JuPjE0NjAtMjA5MSAoRWxl
Y3Ryb25pYykmI3hEOzAzMDUtNzQ1MyAoTGlua2luZyk8L2lzYm4+PGFjY2Vzc2lvbi1udW0+MjU0
NzMwMjc8L2FjY2Vzc2lvbi1udW0+PHVybHM+PHJlbGF0ZWQtdXJscz48dXJsPmh0dHBzOi8vd3d3
Lm5jYmkubmxtLm5paC5nb3YvcHVibWVkLzI1NDczMDI3PC91cmw+PC9yZWxhdGVkLXVybHM+PC91
cmxzPjxlbGVjdHJvbmljLXJlc291cmNlLW51bT4xMC4xMDkzL2phYy9ka3U0NjA8L2VsZWN0cm9u
aWMtcmVzb3VyY2UtbnVtPjwvcmVjb3JkPjwvQ2l0ZT48L0VuZE5vdGU+AGAA
</w:fldData>
        </w:fldChar>
      </w:r>
      <w:r>
        <w:instrText xml:space="preserve"> ADDIN EN.CITE.DATA </w:instrText>
      </w:r>
      <w:r>
        <w:fldChar w:fldCharType="end"/>
      </w:r>
      <w:r>
        <w:fldChar w:fldCharType="separate"/>
      </w:r>
      <w:r>
        <w:t>[13]</w:t>
      </w:r>
      <w:r>
        <w:fldChar w:fldCharType="end"/>
      </w:r>
      <w:r>
        <w:rPr>
          <w:rFonts w:hint="eastAsia"/>
        </w:rPr>
        <w:t>。</w:t>
      </w:r>
      <w:r>
        <w:t xml:space="preserve"> </w:t>
      </w:r>
      <w:r>
        <w:rPr>
          <w:rFonts w:hint="eastAsia"/>
        </w:rPr>
        <w:t>此外，乳酸酚兰染色和KOH湿片法两种基本染色法的普及范围也均达到7</w:t>
      </w:r>
      <w:r>
        <w:t>0</w:t>
      </w:r>
      <w:r>
        <w:rPr>
          <w:rFonts w:hint="eastAsia"/>
        </w:rPr>
        <w:t>%</w:t>
      </w:r>
      <w:r>
        <w:t xml:space="preserve"> </w:t>
      </w:r>
      <w:r>
        <w:rPr>
          <w:rFonts w:hint="eastAsia"/>
        </w:rPr>
        <w:t>以上。相比而言，六胺银染色法和荧光染色法的普及率依然较低，分别为</w:t>
      </w:r>
      <w:r>
        <w:t>26</w:t>
      </w:r>
      <w:r>
        <w:rPr>
          <w:rFonts w:hint="eastAsia"/>
        </w:rPr>
        <w:t>%和</w:t>
      </w:r>
      <w:r>
        <w:t>18</w:t>
      </w:r>
      <w:r>
        <w:rPr>
          <w:rFonts w:hint="eastAsia"/>
        </w:rPr>
        <w:t>%，尤其是在床位数&lt;8</w:t>
      </w:r>
      <w:r>
        <w:t>00</w:t>
      </w:r>
      <w:r>
        <w:rPr>
          <w:rFonts w:hint="eastAsia"/>
        </w:rPr>
        <w:t>的三甲医院中，覆盖率均不足1</w:t>
      </w:r>
      <w:r>
        <w:t>0</w:t>
      </w:r>
      <w:r>
        <w:rPr>
          <w:rFonts w:hint="eastAsia"/>
        </w:rPr>
        <w:t>%（</w:t>
      </w:r>
      <w:r>
        <w:fldChar w:fldCharType="begin"/>
      </w:r>
      <w:r>
        <w:instrText xml:space="preserve"> </w:instrText>
      </w:r>
      <w:r>
        <w:rPr>
          <w:rFonts w:hint="eastAsia"/>
        </w:rPr>
        <w:instrText xml:space="preserve">REF _Ref519068092 \h</w:instrText>
      </w:r>
      <w:r>
        <w:instrText xml:space="preserve"> </w:instrText>
      </w:r>
      <w:r>
        <w:fldChar w:fldCharType="separate"/>
      </w:r>
      <w:r>
        <w:rPr>
          <w:rFonts w:hint="eastAsia"/>
        </w:rPr>
        <w:t xml:space="preserve">图 </w:t>
      </w:r>
      <w:r>
        <w:t>23</w:t>
      </w:r>
      <w:r>
        <w:fldChar w:fldCharType="end"/>
      </w:r>
      <w:r>
        <w:rPr>
          <w:rFonts w:hint="eastAsia"/>
        </w:rPr>
        <w:t>）。</w:t>
      </w:r>
    </w:p>
    <w:p>
      <w:r>
        <w:rPr>
          <w:rFonts w:hint="eastAsia"/>
        </w:rPr>
        <w:t>六胺银染色法多用于病理切片等标本，特异性高，对各类真菌都很敏感且结构清晰易辨认。但是，由于操作步骤相对复杂、费时较长，且对技术人员要求高，目前在我国临床检验室中普及率较低。这一数据也从侧面反映了当下三甲医院技术人员的操作能力仍需进一步提高。</w:t>
      </w:r>
    </w:p>
    <w:p>
      <w:r>
        <w:rPr>
          <w:rFonts w:hint="eastAsia"/>
        </w:rPr>
        <w:t>荧光染色法（如</w:t>
      </w:r>
      <w:r>
        <w:t xml:space="preserve">Calcofluor White </w:t>
      </w:r>
      <w:r>
        <w:rPr>
          <w:rFonts w:hint="eastAsia"/>
        </w:rPr>
        <w:t>(简称CFW)、B</w:t>
      </w:r>
      <w:r>
        <w:t>lancophor</w:t>
      </w:r>
      <w:r>
        <w:rPr>
          <w:rFonts w:hint="eastAsia"/>
        </w:rPr>
        <w:t>等）为</w:t>
      </w:r>
      <w:bookmarkStart w:id="93" w:name="OLE_LINK14"/>
      <w:bookmarkStart w:id="94" w:name="OLE_LINK16"/>
      <w:r>
        <w:rPr>
          <w:rFonts w:hint="eastAsia"/>
        </w:rPr>
        <w:t>2</w:t>
      </w:r>
      <w:r>
        <w:t>017</w:t>
      </w:r>
      <w:r>
        <w:rPr>
          <w:rFonts w:hint="eastAsia"/>
        </w:rPr>
        <w:t>年E</w:t>
      </w:r>
      <w:r>
        <w:t>SCMID-ECMM-ERS</w:t>
      </w:r>
      <w:r>
        <w:rPr>
          <w:rStyle w:val="24"/>
        </w:rPr>
        <w:footnoteReference w:id="0"/>
      </w:r>
      <w:r>
        <w:rPr>
          <w:rFonts w:hint="eastAsia"/>
        </w:rPr>
        <w:t xml:space="preserve">曲霉病诊断指南所推荐 </w:t>
      </w:r>
      <w:bookmarkEnd w:id="93"/>
      <w:bookmarkEnd w:id="94"/>
      <w:r>
        <w:fldChar w:fldCharType="begin">
          <w:fldData xml:space="preserve">PEVuZE5vdGU+PENpdGU+PEF1dGhvcj5VbGxtYW5uPC9BdXRob3I+PFllYXI+MjAxODwvWWVhcj48
UmVjTnVtPjIzPC9SZWNOdW0+PERpc3BsYXlUZXh0PlsxNF08L0Rpc3BsYXlUZXh0PjxyZWNvcmQ+
PHJlYy1udW1iZXI+MjM8L3JlYy1udW1iZXI+PGZvcmVpZ24ta2V5cz48a2V5IGFwcD0iRU4iIGRi
LWlkPSJ3cHN3NXA1cGFyd2Q5OWU1ejJzcDA1YWxmOXg1dno5ejUyMHMiIHRpbWVzdGFtcD0iMTUz
MTIxOTg0MSI+MjM8L2tleT48a2V5IGFwcD0iRU5XZWIiIGRiLWlkPSIiPjA8L2tleT48L2ZvcmVp
Z24ta2V5cz48cmVmLXR5cGUgbmFtZT0iSm91cm5hbCBBcnRpY2xlIj4xNzwvcmVmLXR5cGU+PGNv
bnRyaWJ1dG9ycz48YXV0aG9ycz48YXV0aG9yPlVsbG1hbm4sIEEuIEouPC9hdXRob3I+PGF1dGhv
cj5BZ3VhZG8sIEouIE0uPC9hdXRob3I+PGF1dGhvcj5BcmlrYW4tQWtkYWdsaSwgUy48L2F1dGhv
cj48YXV0aG9yPkRlbm5pbmcsIEQuIFcuPC9hdXRob3I+PGF1dGhvcj5Hcm9sbCwgQS4gSC48L2F1
dGhvcj48YXV0aG9yPkxhZ3JvdSwgSy48L2F1dGhvcj48YXV0aG9yPkxhc3MtRmxvcmwsIEMuPC9h
dXRob3I+PGF1dGhvcj5MZXdpcywgUi4gRS48L2F1dGhvcj48YXV0aG9yPk11bm96LCBQLjwvYXV0
aG9yPjxhdXRob3I+VmVyd2VpaiwgUC4gRS48L2F1dGhvcj48YXV0aG9yPldhcnJpcywgQS48L2F1
dGhvcj48YXV0aG9yPkFkZXIsIEYuPC9hdXRob3I+PGF1dGhvcj5Ba292YSwgTS48L2F1dGhvcj48
YXV0aG9yPkFyZW5kcnVwLCBNLiBDLjwvYXV0aG9yPjxhdXRob3I+QmFybmVzLCBSLiBBLjwvYXV0
aG9yPjxhdXRob3I+QmVpZ2VsbWFuLUF1YnJ5LCBDLjwvYXV0aG9yPjxhdXRob3I+QmxvdCwgUy48
L2F1dGhvcj48YXV0aG9yPkJvdXphLCBFLjwvYXV0aG9yPjxhdXRob3I+QnJ1Z2dlbWFubiwgUi4g
Si4gTS48L2F1dGhvcj48YXV0aG9yPkJ1Y2hoZWlkdCwgRC48L2F1dGhvcj48YXV0aG9yPkNhZHJh
bmVsLCBKLjwvYXV0aG9yPjxhdXRob3I+Q2FzdGFnbm9sYSwgRS48L2F1dGhvcj48YXV0aG9yPkNo
YWtyYWJhcnRpLCBBLjwvYXV0aG9yPjxhdXRob3I+Q3VlbmNhLUVzdHJlbGxhLCBNLjwvYXV0aG9y
PjxhdXRob3I+RGltb3BvdWxvcywgRy48L2F1dGhvcj48YXV0aG9yPkZvcnR1biwgSi48L2F1dGhv
cj48YXV0aG9yPkdhbmduZXV4LCBKLiBQLjwvYXV0aG9yPjxhdXRob3I+R2FyYmlubywgSi48L2F1
dGhvcj48YXV0aG9yPkhlaW56LCBXLiBKLjwvYXV0aG9yPjxhdXRob3I+SGVyYnJlY2h0LCBSLjwv
YXV0aG9yPjxhdXRob3I+SGV1c3NlbCwgQy4gUC48L2F1dGhvcj48YXV0aG9yPktpYmJsZXIsIEMu
IEMuPC9hdXRob3I+PGF1dGhvcj5LbGlta28sIE4uPC9hdXRob3I+PGF1dGhvcj5LdWxsYmVyZywg
Qi4gSi48L2F1dGhvcj48YXV0aG9yPkxhbmdlLCBDLjwvYXV0aG9yPjxhdXRob3I+TGVocm5iZWNo
ZXIsIFQuPC9hdXRob3I+PGF1dGhvcj5Mb2ZmbGVyLCBKLjwvYXV0aG9yPjxhdXRob3I+TG9ydGhv
bGFyeSwgTy48L2F1dGhvcj48YXV0aG9yPk1hZXJ0ZW5zLCBKLjwvYXV0aG9yPjxhdXRob3I+TWFy
Y2hldHRpLCBPLjwvYXV0aG9yPjxhdXRob3I+TWVpcywgSi4gRi48L2F1dGhvcj48YXV0aG9yPlBh
Z2FubywgTC48L2F1dGhvcj48YXV0aG9yPlJpYmF1ZCwgUC48L2F1dGhvcj48YXV0aG9yPlJpY2hh
cmRzb24sIE0uPC9hdXRob3I+PGF1dGhvcj5Sb2lsaWRlcywgRS48L2F1dGhvcj48YXV0aG9yPlJ1
aG5rZSwgTS48L2F1dGhvcj48YXV0aG9yPlNhbmd1aW5ldHRpLCBNLjwvYXV0aG9yPjxhdXRob3I+
U2hlcHBhcmQsIEQuIEMuPC9hdXRob3I+PGF1dGhvcj5TaW5rbywgSi48L2F1dGhvcj48YXV0aG9y
PlNraWFkYSwgQS48L2F1dGhvcj48YXV0aG9yPlZlaHJlc2NoaWxkLCBNamd0PC9hdXRob3I+PGF1
dGhvcj5WaXNjb2xpLCBDLjwvYXV0aG9yPjxhdXRob3I+Q29ybmVseSwgTy4gQS48L2F1dGhvcj48
L2F1dGhvcnM+PC9jb250cmlidXRvcnM+PGF1dGgtYWRkcmVzcz5EZXBhcnRtZW50IG9mIEluZmVj
dGlvdXMgRGlzZWFzZXMsIEhhZW1hdG9sb2d5IGFuZCBPbmNvbG9neSwgVW5pdmVyc2l0eSBIb3Nw
aXRhbCBXdXJ6YnVyZywgV3VyemJ1cmcsIEdlcm1hbnk7IEVTQ01JRCBGdW5nYWwgSW5mZWN0aW9u
IFN0dWR5IEdyb3VwIChFRklTRyk7IEV1cm9wZWFuIENvbmZlZGVyYXRpb24gb2YgTWVkaWNhbCBN
eWNvbG9neSAoRUNNTSkuJiN4RDtJbmZlY3Rpb3VzIERpc2Vhc2VzIFVuaXQsIFVuaXZlcnNpdHkg
SG9zcGl0YWwgTWFkcmlkLCBNYWRyaWQsIFNwYWluOyBFU0NNSUQgRnVuZ2FsIEluZmVjdGlvbiBT
dHVkeSBHcm91cCAoRUZJU0cpOyBFdXJvcGVhbiBDb25mZWRlcmF0aW9uIG9mIE1lZGljYWwgTXlj
b2xvZ3kgKEVDTU0pLiYjeEQ7RGVwYXJ0bWVudCBvZiBNZWRpY2FsIE1pY3JvYmlvbG9neSwgSGFj
ZXR0ZXBlIFVuaXZlcnNpdHkgTWVkaWNhbCBTY2hvb2wsIEFua2FyYSwgVHVya2V5OyBFU0NNSUQg
RnVuZ2FsIEluZmVjdGlvbiBTdHVkeSBHcm91cCAoRUZJU0cpOyBFdXJvcGVhbiBDb25mZWRlcmF0
aW9uIG9mIE1lZGljYWwgTXljb2xvZ3kgKEVDTU0pLiYjeEQ7VGhlIE5hdGlvbmFsIEFzcGVyZ2ls
bG9zaXMgQ2VudHJlLCBXeXRoZW5zaGF3ZSBIb3NwaXRhbCwgTXljb2xvZ3kgUmVmZXJlbmNlIENl
bnRyZSBNYW5jaGVzdGVyLCBNYW5jaGVzdGVyIFVuaXZlcnNpdHkgTkhTIEZvdW5kYXRpb24gVHJ1
c3QsIEVDTU0gRXhjZWxsZW5jZSBDZW50cmUgb2YgTWVkaWNhbCBNeWNvbG9neSwgTWFuY2hlc3Rl
ciwgVUs7IFRoZSBVbml2ZXJzaXR5IG9mIE1hbmNoZXN0ZXIsIE1hbmNoZXN0ZXIsIFVLOyBNYW5j
aGVzdGVyIEFjYWRlbWljIEhlYWx0aCBTY2llbmNlIENlbnRyZSwgTWFuY2hlc3RlciwgVUs7IEV1
cm9wZWFuIENvbmZlZGVyYXRpb24gb2YgTWVkaWNhbCBNeWNvbG9neSAoRUNNTSkuJiN4RDtEZXBh
cnRtZW50IG9mIFBhZWRpYXRyaWMgSGFlbWF0b2xvZ3kvT25jb2xvZ3ksIENlbnRyZSBmb3IgQm9u
ZSBNYXJyb3cgVHJhbnNwbGFudGF0aW9uLCBVbml2ZXJzaXR5IENoaWxkcmVuJmFwb3M7cyBIb3Nw
aXRhbCBNdW5zdGVyLCBNdW5zdGVyLCBHZXJtYW55OyBFU0NNSUQgRnVuZ2FsIEluZmVjdGlvbiBT
dHVkeSBHcm91cCAoRUZJU0cpOyBFdXJvcGVhbiBDb25mZWRlcmF0aW9uIG9mIE1lZGljYWwgTXlj
b2xvZ3kgKEVDTU0pLiYjeEQ7RGVwYXJ0bWVudCBvZiBNaWNyb2Jpb2xvZ3kgYW5kIEltbXVub2xv
Z3ksIEVDTU0gRXhjZWxsZW5jZSBDZW50cmUgb2YgTWVkaWNhbCBNeWNvbG9neSwgVW5pdmVyc2l0
eSBIb3NwaXRhbCBMZXV2ZW4sIExldXZlbiwgQmVsZ2l1bTsgRVNDTUlEIEZ1bmdhbCBJbmZlY3Rp
b24gU3R1ZHkgR3JvdXAgKEVGSVNHKTsgRXVyb3BlYW4gQ29uZmVkZXJhdGlvbiBvZiBNZWRpY2Fs
IE15Y29sb2d5IChFQ01NKS4mI3hEO0luc3RpdHV0ZSBvZiBIeWdpZW5lLCBNaWNyb2Jpb2xvZ3kg
YW5kIFNvY2lhbCBNZWRpY2luZSwgRUNNTSBFeGNlbGxlbmNlIENlbnRyZSBvZiBNZWRpY2FsIE15
Y29sb2d5LCBNZWRpY2FsIFVuaXZlcnNpdHkgSW5uc2JydWNrLCBJbm5zYnJ1Y2ssIEF1c3RyaWE7
IEVTQ01JRCBGdW5nYWwgSW5mZWN0aW9uIFN0dWR5IEdyb3VwIChFRklTRyk7IEV1cm9wZWFuIENv
bmZlZGVyYXRpb24gb2YgTWVkaWNhbCBNeWNvbG9neSAoRUNNTSkuJiN4RDtJbmZlY3Rpb3VzIERp
c2Vhc2VzIENsaW5pYywgU2FudCZhcG9zO09yc29sYS1NYWxwaWdoaSBIb3NwaXRhbCwgVW5pdmVy
c2l0eSBvZiBCb2xvZ25hLCBCb2xvZ25hLCBJdGFseTsgRVNDTUlEIEZ1bmdhbCBJbmZlY3Rpb24g
U3R1ZHkgR3JvdXAgKEVGSVNHKS4mI3hEO0RlcGFydG1lbnQgb2YgTWVkaWNhbCBNaWNyb2Jpb2xv
Z3kgYW5kIEluZmVjdGlvdXMgRGlzZWFzZXMsIEhvc3BpdGFsIEdlbmVyYWwgVW5pdmVyc2l0YXJp
byBHcmVnb3JpbyBNYXJhbm9uLCBNYWRyaWQsIFNwYWluOyBDSUJFUiBFbmZlcm1lZGFkZXMgUmVz
cGlyYXRvcmlhcyAtIENJQkVSRVMgKENCMDYvMDYvMDA1OCksIE1hZHJpZCwgU3BhaW47IE1lZGlj
aW5lIERlcGFydG1lbnQsIFNjaG9vbCBvZiBNZWRpY2luZSwgVW5pdmVyc2lkYWQgQ29tcGx1dGVu
c2UgZGUgTWFkcmlkLCBNYWRyaWQsIFNwYWluOyBFU0NNSUQgRnVuZ2FsIEluZmVjdGlvbiBTdHVk
eSBHcm91cCAoRUZJU0cpOyBFdXJvcGVhbiBDb25mZWRlcmF0aW9uIG9mIE1lZGljYWwgTXljb2xv
Z3kgKEVDTU0pLiYjeEQ7RGVwYXJ0bWVudCBvZiBNZWRpY2FsIE1pY3JvYmlvbG9neSwgUmFkYm91
ZCBVbml2ZXJzaXR5IE1lZGljYWwgQ2VudHJlLCBDZW50cmUgb2YgRXhwZXJ0aXNlIGluIE15Y29s
b2d5IFJhZGJvdWR1bWMvQ1daLCBFQ01NIEV4Y2VsbGVuY2UgQ2VudHJlIG9mIE1lZGljYWwgTXlj
b2xvZ3ksIE5pam1lZ2VuLCBOZXRoZXJsYW5kczsgRVNDTUlEIEZ1bmdhbCBJbmZlY3Rpb24gU3R1
ZHkgR3JvdXAgKEVGSVNHKTsgRXVyb3BlYW4gQ29uZmVkZXJhdGlvbiBvZiBNZWRpY2FsIE15Y29s
b2d5IChFQ01NKS4mI3hEO01SQyBDZW50cmUgZm9yIE1lZGljYWwgTXljb2xvZ3ksIEluc3RpdHV0
ZSBvZiBNZWRpY2FsIFNjaWVuY2VzLCBVbml2ZXJzaXR5IG9mIEFiZXJkZWVuLCBBYmVyZGVlbiwg
VUs7IEVTQ01JRCBGdW5nYWwgSW5mZWN0aW9uIFN0dWR5IEdyb3VwIChFRklTRyk7IEV1cm9wZWFu
IENvbmZlZGVyYXRpb24gb2YgTWVkaWNhbCBNeWNvbG9neSAoRUNNTSkuJiN4RDtEZXBhcnRtZW50
IG9mIEluZmVjdGlvdXMgRGlzZWFzZXMsIEhvc3BpY2VzIENpdmlscyBkZSBMeW9uLCBMeW9uLCBG
cmFuY2U7IEluc2VybSAxMTExLCBGcmVuY2ggSW50ZXJuYXRpb25hbCBDZW50cmUgZm9yIEluZmVj
dGlvdXMgRGlzZWFzZXMgUmVzZWFyY2ggKENJUkkpLCBVbml2ZXJzaXRlIENsYXVkZSBCZXJuYXJk
IEx5b24gMSwgTHlvbiwgRnJhbmNlOyBFdXJvcGVhbiBSZXNwaXJhdG9yeSBTb2NpZXR5IChFUlMp
LiYjeEQ7RGVwYXJ0bWVudCBvZiBNZWRpY2luZSwgU2VjdGlvbiBvZiBJbmZlY3Rpb3VzIERpc2Vh
c2VzLCBIYWNldHRlcGUgVW5pdmVyc2l0eSBNZWRpY2FsIFNjaG9vbCwgQW5rYXJhLCBUdXJrZXk7
IEVTQ01JRCBGdW5nYWwgSW5mZWN0aW9uIFN0dWR5IEdyb3VwIChFRklTRyk7IEV1cm9wZWFuIENv
bmZlZGVyYXRpb24gb2YgTWVkaWNhbCBNeWNvbG9neSAoRUNNTSkuJiN4RDtEZXBhcnRtZW50IE1p
Y3JvYmlvbG9naWNhbCBTdXJ2ZWlsbGFuY2UgYW5kIFJlc2VhcmNoLCBTdGF0ZW5zIFNlcnVtIElu
c3RpdHV0ZSwgQ29wZW5oYWdlbiwgRGVubWFyazsgRVNDTUlEIEZ1bmdhbCBJbmZlY3Rpb24gU3R1
ZHkgR3JvdXAgKEVGSVNHKTsgRXVyb3BlYW4gQ29uZmVkZXJhdGlvbiBvZiBNZWRpY2FsIE15Y29s
b2d5IChFQ01NKS4mI3hEO0RlcGFydG1lbnQgb2YgTWVkaWNhbCBNaWNyb2Jpb2xvZ3kgYW5kIElu
ZmVjdGlvdXMgRGlzZWFzZXMsIEluc3RpdHV0ZSBvZiBJbmZlY3Rpb24gYW5kIEltbXVuaXR5LCBT
Y2hvb2wgb2YgTWVkaWNpbmUsIENhcmRpZmYgVW5pdmVyc2l0eSwgQ2FyZGlmZiwgVUs7IEV1cm9w
ZWFuIENvbmZlZGVyYXRpb24gb2YgTWVkaWNhbCBNeWNvbG9neSAoRUNNTSkuJiN4RDtEZXBhcnRt
ZW50IG9mIERpYWdub3N0aWMgYW5kIEludGVydmVudGlvbmFsIFJhZGlvbG9neSwgQ2VudHJlIEhv
c3BpdGFsaWVyIFVuaXZlcnNpdGFpcmUgVmF1ZG9pcyAoQ0hVViksIExhdXNhbm5lLCBTd2l0emVy
bGFuZDsgRXVyb3BlYW4gUmVzcGlyYXRvcnkgU29jaWV0eSAoRVJTKS4mI3hEO0RlcGFydG1lbnQg
b2YgSW50ZXJuYWwgTWVkaWNpbmUsIEdoZW50IFVuaXZlcnNpdHksIEdoZW50LCBCZWxnaXVtOyBC
dXJucywgVHJhdW1hIGFuZCBDcml0aWNhbCBDYXJlIFJlc2VhcmNoIENlbnRyZSwgVW5pdmVyc2l0
eSBvZiBRdWVlbnNsYW5kLCBCcmlzYmFuZSwgQXVzdHJhbGlhOyBFdXJvcGVhbiBSZXNwaXJhdG9y
eSBTb2NpZXR5IChFUlMpLiYjeEQ7UmFkYm91ZCBDZW50cmUgZm9yIEluZmVjdGlvdXMgRGlzZWFz
ZXMsIFJhZGJvdWQgVW5pdmVyc2l0eSBNZWRpY2FsIENlbnRyZSwgQ2VudHJlIG9mIEV4cGVydGlz
ZSBpbiBNeWNvbG9neSBSYWRib3VkdW1jL0NXWiwgRUNNTSBFeGNlbGxlbmNlIENlbnRyZSBvZiBN
ZWRpY2FsIE15Y29sb2d5LCBOaWptZWdlbiwgTmV0aGVybGFuZHM7IEVTQ01JRCBGdW5nYWwgSW5m
ZWN0aW9uIFN0dWR5IEdyb3VwIChFRklTRykuJiN4RDtNZWRpY2FsIENsaW5pYyBJSUksIFVuaXZl
cnNpdHkgSG9zcGl0YWwgTWFubmhlaW0sIE1hbm5oZWltLCBHZXJtYW55OyBFU0NNSUQgRnVuZ2Fs
IEluZmVjdGlvbiBTdHVkeSBHcm91cCAoRUZJU0cpOyBFdXJvcGVhbiBDb25mZWRlcmF0aW9uIG9m
IE1lZGljYWwgTXljb2xvZ3kgKEVDTU0pLiYjeEQ7RGVwYXJ0bWVudCBvZiBQbmV1bW9sb2d5LCBV
bml2ZXJzaXR5IEhvc3BpdGFsIG9mIFRlbm9uIGFuZCBTb3Jib25uZSwgVW5pdmVyc2l0eSBvZiBQ
YXJpcywgUGFyaXMsIEZyYW5jZTsgRXVyb3BlYW4gUmVzcGlyYXRvcnkgU29jaWV0eSAoRVJTKS4m
I3hEO0luZmVjdGlvdXMgRGlzZWFzZXMgVW5pdCwgSXN0aXR1dG8gR2lhbm5pbmEgR2FzbGluaSBD
aGlsZHJlbiZhcG9zO3MgSG9zcGl0YWwsIEdlbm9hLCBJdGFseTsgRVNDTUlEIEZ1bmdhbCBJbmZl
Y3Rpb24gU3R1ZHkgR3JvdXAgKEVGSVNHKS4mI3hEO0RlcGFydG1lbnQgb2YgTWVkaWNhbCBNaWNy
b2Jpb2xvZ3ksIFBvc3RncmFkdWF0ZSBJbnN0aXR1dGUgb2YgTWVkaWNhbCBFZHVjYXRpb24gJmFt
cDsgUmVzZWFyY2gsIENoYW5kaWdhcmgsIEluZGlhOyBFdXJvcGVhbiBDb25mZWRlcmF0aW9uIG9m
IE1lZGljYWwgTXljb2xvZ3kgKEVDTU0pLiYjeEQ7SW5zdGl0dXRvIGRlIFNhbHVkIENhcmxvcyBJ
SUksIE1hZHJpZCwgU3BhaW47IEVTQ01JRCBGdW5nYWwgSW5mZWN0aW9uIFN0dWR5IEdyb3VwIChF
RklTRyk7IEV1cm9wZWFuIENvbmZlZGVyYXRpb24gb2YgTWVkaWNhbCBNeWNvbG9neSAoRUNNTSku
JiN4RDtEZXBhcnRtZW50IG9mIENyaXRpY2FsIENhcmUgTWVkaWNpbmUsIEF0dGlrb24gVW5pdmVy
c2l0eSBIb3NwaXRhbCwgTmF0aW9uYWwgYW5kIEthcG9kaXN0cmlhbiBVbml2ZXJzaXR5IG9mIEF0
aGVucywgTWVkaWNhbCBTY2hvb2wsIEF0aGVucywgR3JlZWNlOyBFdXJvcGVhbiBSZXNwaXJhdG9y
eSBTb2NpZXR5IChFUlMpLiYjeEQ7SW5mZWN0aW91cyBEaXNlYXNlcyBTZXJ2aWNlLCBSYW1vbiB5
IENhamFsIEhvc3BpdGFsLCBNYWRyaWQsIFNwYWluOyBFU0NNSUQgRnVuZ2FsIEluZmVjdGlvbiBT
dHVkeSBHcm91cCAoRUZJU0cpOyBFdXJvcGVhbiBDb25mZWRlcmF0aW9uIG9mIE1lZGljYWwgTXlj
b2xvZ3kgKEVDTU0pLiYjeEQ7VW5pdiBSZW5uZXMsIENIVSBSZW5uZXMsIEluc2VybSwgSXJzZXQg
KEluc3RpdHV0IGRlIFJlY2hlcmNoZSBlbiBzYW50ZSwgZW52aXJvbm5lbWVudCBldCB0cmF2YWls
KSAtIFVNUl9TIDEwODUsIFJlbm5lcywgRnJhbmNlOyBFU0NNSUQgRnVuZ2FsIEluZmVjdGlvbiBT
dHVkeSBHcm91cCAoRUZJU0cpOyBFdXJvcGVhbiBDb25mZWRlcmF0aW9uIG9mIE1lZGljYWwgTXlj
b2xvZ3kgKEVDTU0pLiYjeEQ7RGl2aXNpb24gb2YgSW5mZWN0aW91cyBEaXNlYXNlcywgVW5pdmVy
c2l0eSBIb3NwaXRhbCBvZiBHZW5ldmEsIEdlbmV2YSwgU3dpdHplcmxhbmQ7IEVTQ01JRCBGdW5n
YWwgSW5mZWN0aW9uIFN0dWR5IEdyb3VwIChFRklTRyk7IEV1cm9wZWFuIENvbmZlZGVyYXRpb24g
b2YgTWVkaWNhbCBNeWNvbG9neSAoRUNNTSkuJiN4RDtEZXBhcnRtZW50IG9mIEhhZW1hdG9sb2d5
IGFuZCBPbmNvbG9neSwgVW5pdmVyc2l0eSBIb3NwaXRhbCBvZiBTdHJhc2JvdXJnLCBTdHJhc2Jv
dXJnLCBGcmFuY2U7IEVTQ01JRCBGdW5nYWwgSW5mZWN0aW9uIFN0dWR5IEdyb3VwIChFRklTRyku
JiN4RDtEaWFnbm9zdGljIGFuZCBJbnRlcnZlbnRpb25hbCBSYWRpb2xvZ3ksIFRob3JhY2ljIENs
aW5pYywgVW5pdmVyc2l0eSBIb3NwaXRhbCBIZWlkZWxiZXJnLCBIZWlkZWxiZXJnLCBHZXJtYW55
OyBFdXJvcGVhbiBDb25mZWRlcmF0aW9uIG9mIE1lZGljYWwgTXljb2xvZ3kgKEVDTU0pLiYjeEQ7
Q2VudHJlIGZvciBNZWRpY2FsIE1pY3JvYmlvbG9neSwgVW5pdmVyc2l0eSBDb2xsZWdlIExvbmRv
biwgTG9uZG9uLCBVSzsgRXVyb3BlYW4gQ29uZmVkZXJhdGlvbiBvZiBNZWRpY2FsIE15Y29sb2d5
IChFQ01NKS4mI3hEO0RlcGFydG1lbnQgb2YgQ2xpbmljYWwgTXljb2xvZ3ksIEFsbGVyZ3kgYW5k
IEltbXVub2xvZ3ksIE5vcnRoIFdlc3Rlcm4gU3RhdGUgTWVkaWNhbCBVbml2ZXJzaXR5LCBTdCBQ
ZXRlcnNidXJnLCBSdXNzaWE7IEV1cm9wZWFuIENvbmZlZGVyYXRpb24gb2YgTWVkaWNhbCBNeWNv
bG9neSAoRUNNTSkuJiN4RDtSYWRib3VkIENlbnRyZSBmb3IgSW5mZWN0aW91cyBEaXNlYXNlcywg
UmFkYm91ZCBVbml2ZXJzaXR5IE1lZGljYWwgQ2VudHJlLCBDZW50cmUgb2YgRXhwZXJ0aXNlIGlu
IE15Y29sb2d5IFJhZGJvdWR1bWMvQ1daLCBFQ01NIEV4Y2VsbGVuY2UgQ2VudHJlIG9mIE1lZGlj
YWwgTXljb2xvZ3ksIE5pam1lZ2VuLCBOZXRoZXJsYW5kczsgRVNDTUlEIEZ1bmdhbCBJbmZlY3Rp
b24gU3R1ZHkgR3JvdXAgKEVGSVNHKTsgRXVyb3BlYW4gQ29uZmVkZXJhdGlvbiBvZiBNZWRpY2Fs
IE15Y29sb2d5IChFQ01NKS4mI3hEO0ludGVybmF0aW9uYWwgSGVhbHRoIGFuZCBJbmZlY3Rpb3Vz
IERpc2Vhc2VzLCBVbml2ZXJzaXR5IG9mIEx1YmVjaywgTHViZWNrLCBHZXJtYW55OyBDbGluaWNh
bCBJbmZlY3Rpb3VzIERpc2Vhc2VzLCBSZXNlYXJjaCBDZW50cmUgQm9yc3RlbCwgTGVpYm5peiBD
ZW50ZXIgZm9yIE1lZGljaW5lICZhbXA7IEJpb3NjaWVuY2VzLCBCb3JzdGVsLCBHZXJtYW55OyBH
ZXJtYW4gQ2VudHJlIGZvciBJbmZlY3Rpb24gUmVzZWFyY2ggKERaSUYpLCBUdWJlcmN1bG9zaXMg
VW5pdCwgSGFtYnVyZy1MdWJlY2stQm9yc3RlbC1SaWVtcyBTaXRlLCBMdWJlY2ssIEdlcm1hbnk7
IEV1cm9wZWFuIFJlc3BpcmF0b3J5IFNvY2lldHkgKEVSUykuJiN4RDtEaXZpc2lvbiBvZiBQYWVk
aWF0cmljIEhhZW1hdG9sb2d5IGFuZCBPbmNvbG9neSwgSG9zcGl0YWwgZm9yIENoaWxkcmVuIGFu
ZCBBZG9sZXNjZW50cywgSm9oYW5uIFdvbGZnYW5nIEdvZXRoZS1Vbml2ZXJzaXR5LCBGcmFua2Z1
cnQsIEdlcm1hbnk7IEV1cm9wZWFuIENvbmZlZGVyYXRpb24gb2YgTWVkaWNhbCBNeWNvbG9neSAo
RUNNTSkuJiN4RDtEZXBhcnRtZW50IG9mIEluZmVjdGlvdXMgYW5kIFRyb3BpY2FsIERpc2Vhc2Vz
LCBDaGlsZHJlbiZhcG9zO3MgSG9zcGl0YWwsIFVuaXZlcnNpdHkgb2YgUGFyaXMsIFBhcmlzLCBG
cmFuY2U7IEVTQ01JRCBGdW5nYWwgSW5mZWN0aW9uIFN0dWR5IEdyb3VwIChFRklTRyk7IEV1cm9w
ZWFuIENvbmZlZGVyYXRpb24gb2YgTWVkaWNhbCBNeWNvbG9neSAoRUNNTSkuJiN4RDtEZXBhcnRt
ZW50IG9mIEhhZW1hdG9sb2d5LCBFQ01NIEV4Y2VsbGVuY2UgQ2VudHJlIG9mIE1lZGljYWwgTXlj
b2xvZ3ksIFVuaXZlcnNpdHkgSG9zcGl0YWwgTGV1dmVuLCBMZXV2ZW4sIEJlbGdpdW07IEVTQ01J
RCBGdW5nYWwgSW5mZWN0aW9uIFN0dWR5IEdyb3VwIChFRklTRyk7IEV1cm9wZWFuIENvbmZlZGVy
YXRpb24gb2YgTWVkaWNhbCBNeWNvbG9neSAoRUNNTSkuJiN4RDtJbmZlY3Rpb3VzIERpc2Vhc2Vz
IFNlcnZpY2UsIERlcGFydG1lbnQgb2YgTWVkaWNpbmUsIExhdXNhbm5lIFVuaXZlcnNpdHkgSG9z
cGl0YWwsIExhdXNhbm5lLCBTd2l0emVybGFuZDsgRGVwYXJ0bWVudCBvZiBNZWRpY2luZSwgRW5z
ZW1ibGUgSG9zcGl0YWxpZXIgZGUgbGEgQ290ZSwgTW9yZ2VzLCBTd2l0emVybGFuZDsgRVNDTUlE
IEZ1bmdhbCBJbmZlY3Rpb24gU3R1ZHkgR3JvdXAgKEVGSVNHKTsgRXVyb3BlYW4gQ29uZmVkZXJh
dGlvbiBvZiBNZWRpY2FsIE15Y29sb2d5IChFQ01NKS4mI3hEO0RlcGFydG1lbnQgb2YgTWVkaWNh
bCBNaWNyb2Jpb2xvZ3kgYW5kIEluZmVjdGlvdXMgRGlzZWFzZXMsIENhbmlzaXVzLVdpbGhlbG1p
bmEgSG9zcGl0YWwsIENlbnRyZSBvZiBFeHBlcnRpc2UgaW4gTXljb2xvZ3kgUmFkYm91ZHVtYy9D
V1osIEVDTU0gRXhjZWxsZW5jZSBDZW50cmUgb2YgTWVkaWNhbCBNeWNvbG9neSwgTmlqbWVnZW4s
IE5ldGhlcmxhbmRzOyBFU0NNSUQgRnVuZ2FsIEluZmVjdGlvbiBTdHVkeSBHcm91cCAoRUZJU0cp
OyBFdXJvcGVhbiBDb25mZWRlcmF0aW9uIG9mIE1lZGljYWwgTXljb2xvZ3kgKEVDTU0pLiYjeEQ7
RGVwYXJ0bWVudCBvZiBIYWVtYXRvbG9neSwgVW5pdmVyc2l0YSBDYXR0b2xpY2EgZGVsIFNhY3Jv
IEN1b3JlLCBSb21hLCBJdGFseTsgRXVyb3BlYW4gQ29uZmVkZXJhdGlvbiBvZiBNZWRpY2FsIE15
Y29sb2d5IChFQ01NKS4mI3hEO1F1YWxpdHkgVW5pdCwgUG9sZSBQcmVibG9jLCBTYWludC1Mb3Vp
cyBhbmQgTGFyaWJvaXNpZXJlIEhvc3BpdGFsIEdyb3VwLCBBc3Npc3RhbmNlIFB1YmxpcXVlLUhv
cGl0YXV4IGRlIFBhcmlzLCBQYXJpcywgRnJhbmNlLiYjeEQ7VGhlIE5hdGlvbmFsIEFzcGVyZ2ls
bG9zaXMgQ2VudHJlLCBXeXRoZW5zaGF3ZSBIb3NwaXRhbCwgTXljb2xvZ3kgUmVmZXJlbmNlIENl
bnRyZSBNYW5jaGVzdGVyLCBNYW5jaGVzdGVyIFVuaXZlcnNpdHkgTkhTIEZvdW5kYXRpb24gVHJ1
c3QsIEVDTU0gRXhjZWxsZW5jZSBDZW50cmUgb2YgTWVkaWNhbCBNeWNvbG9neSwgTWFuY2hlc3Rl
ciwgVUs7IFRoZSBVbml2ZXJzaXR5IG9mIE1hbmNoZXN0ZXIsIE1hbmNoZXN0ZXIsIFVLOyBNYW5j
aGVzdGVyIEFjYWRlbWljIEhlYWx0aCBTY2llbmNlIENlbnRyZSwgTWFuY2hlc3RlciwgVUs7IEVT
Q01JRCBGdW5nYWwgSW5mZWN0aW9uIFN0dWR5IEdyb3VwIChFRklTRyk7IEV1cm9wZWFuIENvbmZl
ZGVyYXRpb24gb2YgTWVkaWNhbCBNeWNvbG9neSAoRUNNTSkuJiN4RDtJbmZlY3Rpb3VzIERpc2Vh
c2VzIFVuaXQsIDNyZCBEZXBhcnRtZW50IG9mIFBhZWRpYXRyaWNzLCBGYWN1bHR5IG9mIE1lZGlj
aW5lLCBBcmlzdG90bGUgVW5pdmVyc2l0eSBTY2hvb2wgb2YgSGVhbHRoIFNjaWVuY2VzLCBUaGVz
c2Fsb25pa2ksIEdyZWVjZTsgSGlwcG9rcmF0aW9uIEdlbmVyYWwgSG9zcGl0YWwsIFRoZXNzYWxv
bmlraSwgR3JlZWNlOyBFU0NNSUQgRnVuZ2FsIEluZmVjdGlvbiBTdHVkeSBHcm91cCAoRUZJU0cp
OyBFdXJvcGVhbiBDb25mZWRlcmF0aW9uIG9mIE1lZGljYWwgTXljb2xvZ3kgKEVDTU0pLiYjeEQ7
RGVwYXJ0bWVudCBvZiBIYWVtYXRvbG9neSBhbmQgT25jb2xvZ3ksIFBhcmFjZWxzdXMgSG9zcGl0
YWwsIE9zbmFicnVjaywgR2VybWFueTsgRVNDTUlEIEZ1bmdhbCBJbmZlY3Rpb24gU3R1ZHkgR3Jv
dXAgKEVGSVNHKTsgRXVyb3BlYW4gQ29uZmVkZXJhdGlvbiBvZiBNZWRpY2FsIE15Y29sb2d5IChF
Q01NKS4mI3hEO0luc3RpdHV0ZSBvZiBNaWNyb2Jpb2xvZ3ksIEZvbmRhemlvbmUgUG9saWNsaW5p
Y28gVW5pdmVyc2l0YXJpbyBBLiBHZW1lbGxpIC0gVW5pdmVyc2l0YSBDYXR0b2xpY2EgZGVsIFNh
Y3JvIEN1b3JlLCBSb21lLCBJdGFseTsgRVNDTUlEIEZ1bmdhbCBJbmZlY3Rpb24gU3R1ZHkgR3Jv
dXAgKEVGSVNHKTsgRXVyb3BlYW4gQ29uZmVkZXJhdGlvbiBvZiBNZWRpY2FsIE15Y29sb2d5IChF
Q01NKS4mI3hEO0RpdmlzaW9uIG9mIEluZmVjdGlvdXMgRGlzZWFzZXMsIERlcGFydG1lbnQgb2Yg
TWVkaWNpbmUsIE1pY3JvYmlvbG9neSBhbmQgSW1tdW5vbG9neSwgTWNHaWxsIFVuaXZlcnNpdHks
IE1vbnRyZWFsLCBDYW5hZGE7IEVTQ01JRCBGdW5nYWwgSW5mZWN0aW9uIFN0dWR5IEdyb3VwIChF
RklTRyk7IEV1cm9wZWFuIENvbmZlZGVyYXRpb24gb2YgTWVkaWNhbCBNeWNvbG9neSAoRUNNTSku
JiN4RDtEZXBhcnRtZW50IG9mIEhhZW1hdG9sb2d5IGFuZCBTdGVtIENlbGwgVHJhbnNwbGFudGF0
aW9uLCBTemVudCBJc3R2YW4gYW5kIFN6ZW50IExhc3psbyBIb3NwaXRhbCwgQnVkYXBlc3QsIEh1
bmdhcnk7IEVTQ01JRCBGdW5nYWwgSW5mZWN0aW9uIFN0dWR5IEdyb3VwIChFRklTRykuJiN4RDtG
aXJzdCBEZXBhcnRtZW50IG9mIE1lZGljaW5lLCBMYWlrbyBIb3NwaXRhbCwgTmF0aW9uYWwgYW5k
IEthcG9kaXN0cmlhbiBVbml2ZXJzaXR5IG9mIEF0aGVucywgQXRoZW5zLCBHcmVlY2U7IEVTQ01J
RCBGdW5nYWwgSW5mZWN0aW9uIFN0dWR5IEdyb3VwIChFRklTRyk7IEV1cm9wZWFuIENvbmZlZGVy
YXRpb24gb2YgTWVkaWNhbCBNeWNvbG9neSAoRUNNTSkuJiN4RDtEZXBhcnRtZW50IEkgb2YgSW50
ZXJuYWwgTWVkaWNpbmUsIEVDTU0gRXhjZWxsZW5jZSBDZW50cmUgb2YgTWVkaWNhbCBNeWNvbG9n
eSwgVW5pdmVyc2l0eSBIb3NwaXRhbCBvZiBDb2xvZ25lLCBDb2xvZ25lLCBHZXJtYW55OyBDZW50
cmUgZm9yIEludGVncmF0ZWQgT25jb2xvZ3ksIENvbG9nbmUtQm9ubiwgVW5pdmVyc2l0eSBvZiBD
b2xvZ25lLCBDb2xvZ25lLCBHZXJtYW55OyBHZXJtYW4gQ2VudHJlIGZvciBJbmZlY3Rpb24gUmVz
ZWFyY2ggKERaSUYpIHBhcnRuZXIgc2l0ZSBCb25uLUNvbG9nbmUsIENvbG9nbmUsIEdlcm1hbnk7
IEV1cm9wZWFuIENvbmZlZGVyYXRpb24gb2YgTWVkaWNhbCBNeWNvbG9neSAoRUNNTSkuJiN4RDtP
c3BlZGFsZSBQb2xpY2xpbmljbyBTYW4gTWFydGlubyBhbmQgVW5pdmVyc2l0eSBvZiBHZW5vdmEg
KERJU1NBTCksIEdlbm92YSwgSXRhbHk7IEVTQ01JRCBGdW5nYWwgSW5mZWN0aW9uIFN0dWR5IEdy
b3VwIChFRklTRyk7IEV1cm9wZWFuIENvbmZlZGVyYXRpb24gb2YgTWVkaWNhbCBNeWNvbG9neSAo
RUNNTSkuJiN4RDtGaXJzdCBEZXBhcnRtZW50IG9mIE1lZGljaW5lLCBMYWlrbyBIb3NwaXRhbCwg
TmF0aW9uYWwgYW5kIEthcG9kaXN0cmlhbiBVbml2ZXJzaXR5IG9mIEF0aGVucywgQXRoZW5zLCBH
cmVlY2U7IEdlcm1hbiBDZW50cmUgZm9yIEluZmVjdGlvbiBSZXNlYXJjaCAoRFpJRikgcGFydG5l
ciBzaXRlIEJvbm4tQ29sb2duZSwgQ29sb2duZSwgR2VybWFueTsgQ0VDQUQgQ2x1c3RlciBvZiBF
eGNlbGxlbmNlLCBVbml2ZXJzaXR5IG9mIENvbG9nbmUsIENvbG9nbmUsIEdlcm1hbnk7IENsaW5p
Y2FsIFRyaWFscyBDZW50ZXIgQ29sb2duZSwgVW5pdmVyc2l0eSBIb3NwaXRhbCBvZiBDb2xvZ25l
LCBDb2xvZ25lLCBHZXJtYW55OyBFU0NNSUQgRnVuZ2FsIEluZmVjdGlvbiBTdHVkeSBHcm91cCAo
RUZJU0cpOyBFdXJvcGVhbiBDb25mZWRlcmF0aW9uIG9mIE1lZGljYWwgTXljb2xvZ3kgKEVDTU0p
OyBFU0NNSUQgRXVyb3BlYW4gU3R1ZHkgR3JvdXAgZm9yIEluZmVjdGlvbnMgaW4gQ29tcHJvbWlz
ZWQgSG9zdHMgKEVTR0lDSCkuIEVsZWN0cm9uaWMgYWRkcmVzczogT2xpdmVyLmNvcm5lbHlAdWst
a29lbG4uZGUuPC9hdXRoLWFkZHJlc3M+PHRpdGxlcz48dGl0bGU+RGlhZ25vc2lzIGFuZCBtYW5h
Z2VtZW50IG9mIEFzcGVyZ2lsbHVzIGRpc2Vhc2VzOiBleGVjdXRpdmUgc3VtbWFyeSBvZiB0aGUg
MjAxNyBFU0NNSUQtRUNNTS1FUlMgZ3VpZGVsaW5lPC90aXRsZT48c2Vjb25kYXJ5LXRpdGxlPkNs
aW4gTWljcm9iaW9sIEluZmVjdDwvc2Vjb25kYXJ5LXRpdGxlPjwvdGl0bGVzPjxwZXJpb2RpY2Fs
PjxmdWxsLXRpdGxlPkNsaW4gTWljcm9iaW9sIEluZmVjdDwvZnVsbC10aXRsZT48L3BlcmlvZGlj
YWw+PHBhZ2VzPmUxLWUzODwvcGFnZXM+PHZvbHVtZT4yNCBTdXBwbCAxPC92b2x1bWU+PGVkaXRp
b24+MjAxOC8wMy8xNzwvZWRpdGlvbj48a2V5d29yZHM+PGtleXdvcmQ+QXNwZXJnaWxsb3Npczwv
a2V5d29yZD48a2V5d29yZD5EaWFnbm9zaXM8L2tleXdvcmQ+PGtleXdvcmQ+SGFlbWF0b2xvZ3k8
L2tleXdvcmQ+PGtleXdvcmQ+SW52YXNpdmUgZnVuZ2FsIGluZmVjdGlvbjwva2V5d29yZD48a2V5
d29yZD5UcmFuc3BsYW50YXRpb248L2tleXdvcmQ+PGtleXdvcmQ+VHJlYXRtZW50PC9rZXl3b3Jk
Pjwva2V5d29yZHM+PGRhdGVzPjx5ZWFyPjIwMTg8L3llYXI+PHB1Yi1kYXRlcz48ZGF0ZT5NYXk8
L2RhdGU+PC9wdWItZGF0ZXM+PC9kYXRlcz48aXNibj4xNDY5LTA2OTEgKEVsZWN0cm9uaWMpJiN4
RDsxMTk4LTc0M1ggKExpbmtpbmcpPC9pc2JuPjxhY2Nlc3Npb24tbnVtPjI5NTQ0NzY3PC9hY2Nl
c3Npb24tbnVtPjx1cmxzPjxyZWxhdGVkLXVybHM+PHVybD5odHRwczovL3d3dy5uY2JpLm5sbS5u
aWguZ292L3B1Ym1lZC8yOTU0NDc2NzwvdXJsPjwvcmVsYXRlZC11cmxzPjwvdXJscz48ZWxlY3Ry
b25pYy1yZXNvdXJjZS1udW0+MTAuMTAxNi9qLmNtaS4yMDE4LjAxLjAwMjwvZWxlY3Ryb25pYy1y
ZXNvdXJjZS1udW0+PC9yZWNvcmQ+PC9DaXRlPjwvRW5kTm90ZT5AAA==
</w:fldData>
        </w:fldChar>
      </w:r>
      <w:r>
        <w:instrText xml:space="preserve"> ADDIN EN.CITE </w:instrText>
      </w:r>
      <w:r>
        <w:fldChar w:fldCharType="begin">
          <w:fldData xml:space="preserve">PEVuZE5vdGU+PENpdGU+PEF1dGhvcj5VbGxtYW5uPC9BdXRob3I+PFllYXI+MjAxODwvWWVhcj48
UmVjTnVtPjIzPC9SZWNOdW0+PERpc3BsYXlUZXh0PlsxNF08L0Rpc3BsYXlUZXh0PjxyZWNvcmQ+
PHJlYy1udW1iZXI+MjM8L3JlYy1udW1iZXI+PGZvcmVpZ24ta2V5cz48a2V5IGFwcD0iRU4iIGRi
LWlkPSJ3cHN3NXA1cGFyd2Q5OWU1ejJzcDA1YWxmOXg1dno5ejUyMHMiIHRpbWVzdGFtcD0iMTUz
MTIxOTg0MSI+MjM8L2tleT48a2V5IGFwcD0iRU5XZWIiIGRiLWlkPSIiPjA8L2tleT48L2ZvcmVp
Z24ta2V5cz48cmVmLXR5cGUgbmFtZT0iSm91cm5hbCBBcnRpY2xlIj4xNzwvcmVmLXR5cGU+PGNv
bnRyaWJ1dG9ycz48YXV0aG9ycz48YXV0aG9yPlVsbG1hbm4sIEEuIEouPC9hdXRob3I+PGF1dGhv
cj5BZ3VhZG8sIEouIE0uPC9hdXRob3I+PGF1dGhvcj5BcmlrYW4tQWtkYWdsaSwgUy48L2F1dGhv
cj48YXV0aG9yPkRlbm5pbmcsIEQuIFcuPC9hdXRob3I+PGF1dGhvcj5Hcm9sbCwgQS4gSC48L2F1
dGhvcj48YXV0aG9yPkxhZ3JvdSwgSy48L2F1dGhvcj48YXV0aG9yPkxhc3MtRmxvcmwsIEMuPC9h
dXRob3I+PGF1dGhvcj5MZXdpcywgUi4gRS48L2F1dGhvcj48YXV0aG9yPk11bm96LCBQLjwvYXV0
aG9yPjxhdXRob3I+VmVyd2VpaiwgUC4gRS48L2F1dGhvcj48YXV0aG9yPldhcnJpcywgQS48L2F1
dGhvcj48YXV0aG9yPkFkZXIsIEYuPC9hdXRob3I+PGF1dGhvcj5Ba292YSwgTS48L2F1dGhvcj48
YXV0aG9yPkFyZW5kcnVwLCBNLiBDLjwvYXV0aG9yPjxhdXRob3I+QmFybmVzLCBSLiBBLjwvYXV0
aG9yPjxhdXRob3I+QmVpZ2VsbWFuLUF1YnJ5LCBDLjwvYXV0aG9yPjxhdXRob3I+QmxvdCwgUy48
L2F1dGhvcj48YXV0aG9yPkJvdXphLCBFLjwvYXV0aG9yPjxhdXRob3I+QnJ1Z2dlbWFubiwgUi4g
Si4gTS48L2F1dGhvcj48YXV0aG9yPkJ1Y2hoZWlkdCwgRC48L2F1dGhvcj48YXV0aG9yPkNhZHJh
bmVsLCBKLjwvYXV0aG9yPjxhdXRob3I+Q2FzdGFnbm9sYSwgRS48L2F1dGhvcj48YXV0aG9yPkNo
YWtyYWJhcnRpLCBBLjwvYXV0aG9yPjxhdXRob3I+Q3VlbmNhLUVzdHJlbGxhLCBNLjwvYXV0aG9y
PjxhdXRob3I+RGltb3BvdWxvcywgRy48L2F1dGhvcj48YXV0aG9yPkZvcnR1biwgSi48L2F1dGhv
cj48YXV0aG9yPkdhbmduZXV4LCBKLiBQLjwvYXV0aG9yPjxhdXRob3I+R2FyYmlubywgSi48L2F1
dGhvcj48YXV0aG9yPkhlaW56LCBXLiBKLjwvYXV0aG9yPjxhdXRob3I+SGVyYnJlY2h0LCBSLjwv
YXV0aG9yPjxhdXRob3I+SGV1c3NlbCwgQy4gUC48L2F1dGhvcj48YXV0aG9yPktpYmJsZXIsIEMu
IEMuPC9hdXRob3I+PGF1dGhvcj5LbGlta28sIE4uPC9hdXRob3I+PGF1dGhvcj5LdWxsYmVyZywg
Qi4gSi48L2F1dGhvcj48YXV0aG9yPkxhbmdlLCBDLjwvYXV0aG9yPjxhdXRob3I+TGVocm5iZWNo
ZXIsIFQuPC9hdXRob3I+PGF1dGhvcj5Mb2ZmbGVyLCBKLjwvYXV0aG9yPjxhdXRob3I+TG9ydGhv
bGFyeSwgTy48L2F1dGhvcj48YXV0aG9yPk1hZXJ0ZW5zLCBKLjwvYXV0aG9yPjxhdXRob3I+TWFy
Y2hldHRpLCBPLjwvYXV0aG9yPjxhdXRob3I+TWVpcywgSi4gRi48L2F1dGhvcj48YXV0aG9yPlBh
Z2FubywgTC48L2F1dGhvcj48YXV0aG9yPlJpYmF1ZCwgUC48L2F1dGhvcj48YXV0aG9yPlJpY2hh
cmRzb24sIE0uPC9hdXRob3I+PGF1dGhvcj5Sb2lsaWRlcywgRS48L2F1dGhvcj48YXV0aG9yPlJ1
aG5rZSwgTS48L2F1dGhvcj48YXV0aG9yPlNhbmd1aW5ldHRpLCBNLjwvYXV0aG9yPjxhdXRob3I+
U2hlcHBhcmQsIEQuIEMuPC9hdXRob3I+PGF1dGhvcj5TaW5rbywgSi48L2F1dGhvcj48YXV0aG9y
PlNraWFkYSwgQS48L2F1dGhvcj48YXV0aG9yPlZlaHJlc2NoaWxkLCBNamd0PC9hdXRob3I+PGF1
dGhvcj5WaXNjb2xpLCBDLjwvYXV0aG9yPjxhdXRob3I+Q29ybmVseSwgTy4gQS48L2F1dGhvcj48
L2F1dGhvcnM+PC9jb250cmlidXRvcnM+PGF1dGgtYWRkcmVzcz5EZXBhcnRtZW50IG9mIEluZmVj
dGlvdXMgRGlzZWFzZXMsIEhhZW1hdG9sb2d5IGFuZCBPbmNvbG9neSwgVW5pdmVyc2l0eSBIb3Nw
aXRhbCBXdXJ6YnVyZywgV3VyemJ1cmcsIEdlcm1hbnk7IEVTQ01JRCBGdW5nYWwgSW5mZWN0aW9u
IFN0dWR5IEdyb3VwIChFRklTRyk7IEV1cm9wZWFuIENvbmZlZGVyYXRpb24gb2YgTWVkaWNhbCBN
eWNvbG9neSAoRUNNTSkuJiN4RDtJbmZlY3Rpb3VzIERpc2Vhc2VzIFVuaXQsIFVuaXZlcnNpdHkg
SG9zcGl0YWwgTWFkcmlkLCBNYWRyaWQsIFNwYWluOyBFU0NNSUQgRnVuZ2FsIEluZmVjdGlvbiBT
dHVkeSBHcm91cCAoRUZJU0cpOyBFdXJvcGVhbiBDb25mZWRlcmF0aW9uIG9mIE1lZGljYWwgTXlj
b2xvZ3kgKEVDTU0pLiYjeEQ7RGVwYXJ0bWVudCBvZiBNZWRpY2FsIE1pY3JvYmlvbG9neSwgSGFj
ZXR0ZXBlIFVuaXZlcnNpdHkgTWVkaWNhbCBTY2hvb2wsIEFua2FyYSwgVHVya2V5OyBFU0NNSUQg
RnVuZ2FsIEluZmVjdGlvbiBTdHVkeSBHcm91cCAoRUZJU0cpOyBFdXJvcGVhbiBDb25mZWRlcmF0
aW9uIG9mIE1lZGljYWwgTXljb2xvZ3kgKEVDTU0pLiYjeEQ7VGhlIE5hdGlvbmFsIEFzcGVyZ2ls
bG9zaXMgQ2VudHJlLCBXeXRoZW5zaGF3ZSBIb3NwaXRhbCwgTXljb2xvZ3kgUmVmZXJlbmNlIENl
bnRyZSBNYW5jaGVzdGVyLCBNYW5jaGVzdGVyIFVuaXZlcnNpdHkgTkhTIEZvdW5kYXRpb24gVHJ1
c3QsIEVDTU0gRXhjZWxsZW5jZSBDZW50cmUgb2YgTWVkaWNhbCBNeWNvbG9neSwgTWFuY2hlc3Rl
ciwgVUs7IFRoZSBVbml2ZXJzaXR5IG9mIE1hbmNoZXN0ZXIsIE1hbmNoZXN0ZXIsIFVLOyBNYW5j
aGVzdGVyIEFjYWRlbWljIEhlYWx0aCBTY2llbmNlIENlbnRyZSwgTWFuY2hlc3RlciwgVUs7IEV1
cm9wZWFuIENvbmZlZGVyYXRpb24gb2YgTWVkaWNhbCBNeWNvbG9neSAoRUNNTSkuJiN4RDtEZXBh
cnRtZW50IG9mIFBhZWRpYXRyaWMgSGFlbWF0b2xvZ3kvT25jb2xvZ3ksIENlbnRyZSBmb3IgQm9u
ZSBNYXJyb3cgVHJhbnNwbGFudGF0aW9uLCBVbml2ZXJzaXR5IENoaWxkcmVuJmFwb3M7cyBIb3Nw
aXRhbCBNdW5zdGVyLCBNdW5zdGVyLCBHZXJtYW55OyBFU0NNSUQgRnVuZ2FsIEluZmVjdGlvbiBT
dHVkeSBHcm91cCAoRUZJU0cpOyBFdXJvcGVhbiBDb25mZWRlcmF0aW9uIG9mIE1lZGljYWwgTXlj
b2xvZ3kgKEVDTU0pLiYjeEQ7RGVwYXJ0bWVudCBvZiBNaWNyb2Jpb2xvZ3kgYW5kIEltbXVub2xv
Z3ksIEVDTU0gRXhjZWxsZW5jZSBDZW50cmUgb2YgTWVkaWNhbCBNeWNvbG9neSwgVW5pdmVyc2l0
eSBIb3NwaXRhbCBMZXV2ZW4sIExldXZlbiwgQmVsZ2l1bTsgRVNDTUlEIEZ1bmdhbCBJbmZlY3Rp
b24gU3R1ZHkgR3JvdXAgKEVGSVNHKTsgRXVyb3BlYW4gQ29uZmVkZXJhdGlvbiBvZiBNZWRpY2Fs
IE15Y29sb2d5IChFQ01NKS4mI3hEO0luc3RpdHV0ZSBvZiBIeWdpZW5lLCBNaWNyb2Jpb2xvZ3kg
YW5kIFNvY2lhbCBNZWRpY2luZSwgRUNNTSBFeGNlbGxlbmNlIENlbnRyZSBvZiBNZWRpY2FsIE15
Y29sb2d5LCBNZWRpY2FsIFVuaXZlcnNpdHkgSW5uc2JydWNrLCBJbm5zYnJ1Y2ssIEF1c3RyaWE7
IEVTQ01JRCBGdW5nYWwgSW5mZWN0aW9uIFN0dWR5IEdyb3VwIChFRklTRyk7IEV1cm9wZWFuIENv
bmZlZGVyYXRpb24gb2YgTWVkaWNhbCBNeWNvbG9neSAoRUNNTSkuJiN4RDtJbmZlY3Rpb3VzIERp
c2Vhc2VzIENsaW5pYywgU2FudCZhcG9zO09yc29sYS1NYWxwaWdoaSBIb3NwaXRhbCwgVW5pdmVy
c2l0eSBvZiBCb2xvZ25hLCBCb2xvZ25hLCBJdGFseTsgRVNDTUlEIEZ1bmdhbCBJbmZlY3Rpb24g
U3R1ZHkgR3JvdXAgKEVGSVNHKS4mI3hEO0RlcGFydG1lbnQgb2YgTWVkaWNhbCBNaWNyb2Jpb2xv
Z3kgYW5kIEluZmVjdGlvdXMgRGlzZWFzZXMsIEhvc3BpdGFsIEdlbmVyYWwgVW5pdmVyc2l0YXJp
byBHcmVnb3JpbyBNYXJhbm9uLCBNYWRyaWQsIFNwYWluOyBDSUJFUiBFbmZlcm1lZGFkZXMgUmVz
cGlyYXRvcmlhcyAtIENJQkVSRVMgKENCMDYvMDYvMDA1OCksIE1hZHJpZCwgU3BhaW47IE1lZGlj
aW5lIERlcGFydG1lbnQsIFNjaG9vbCBvZiBNZWRpY2luZSwgVW5pdmVyc2lkYWQgQ29tcGx1dGVu
c2UgZGUgTWFkcmlkLCBNYWRyaWQsIFNwYWluOyBFU0NNSUQgRnVuZ2FsIEluZmVjdGlvbiBTdHVk
eSBHcm91cCAoRUZJU0cpOyBFdXJvcGVhbiBDb25mZWRlcmF0aW9uIG9mIE1lZGljYWwgTXljb2xv
Z3kgKEVDTU0pLiYjeEQ7RGVwYXJ0bWVudCBvZiBNZWRpY2FsIE1pY3JvYmlvbG9neSwgUmFkYm91
ZCBVbml2ZXJzaXR5IE1lZGljYWwgQ2VudHJlLCBDZW50cmUgb2YgRXhwZXJ0aXNlIGluIE15Y29s
b2d5IFJhZGJvdWR1bWMvQ1daLCBFQ01NIEV4Y2VsbGVuY2UgQ2VudHJlIG9mIE1lZGljYWwgTXlj
b2xvZ3ksIE5pam1lZ2VuLCBOZXRoZXJsYW5kczsgRVNDTUlEIEZ1bmdhbCBJbmZlY3Rpb24gU3R1
ZHkgR3JvdXAgKEVGSVNHKTsgRXVyb3BlYW4gQ29uZmVkZXJhdGlvbiBvZiBNZWRpY2FsIE15Y29s
b2d5IChFQ01NKS4mI3hEO01SQyBDZW50cmUgZm9yIE1lZGljYWwgTXljb2xvZ3ksIEluc3RpdHV0
ZSBvZiBNZWRpY2FsIFNjaWVuY2VzLCBVbml2ZXJzaXR5IG9mIEFiZXJkZWVuLCBBYmVyZGVlbiwg
VUs7IEVTQ01JRCBGdW5nYWwgSW5mZWN0aW9uIFN0dWR5IEdyb3VwIChFRklTRyk7IEV1cm9wZWFu
IENvbmZlZGVyYXRpb24gb2YgTWVkaWNhbCBNeWNvbG9neSAoRUNNTSkuJiN4RDtEZXBhcnRtZW50
IG9mIEluZmVjdGlvdXMgRGlzZWFzZXMsIEhvc3BpY2VzIENpdmlscyBkZSBMeW9uLCBMeW9uLCBG
cmFuY2U7IEluc2VybSAxMTExLCBGcmVuY2ggSW50ZXJuYXRpb25hbCBDZW50cmUgZm9yIEluZmVj
dGlvdXMgRGlzZWFzZXMgUmVzZWFyY2ggKENJUkkpLCBVbml2ZXJzaXRlIENsYXVkZSBCZXJuYXJk
IEx5b24gMSwgTHlvbiwgRnJhbmNlOyBFdXJvcGVhbiBSZXNwaXJhdG9yeSBTb2NpZXR5IChFUlMp
LiYjeEQ7RGVwYXJ0bWVudCBvZiBNZWRpY2luZSwgU2VjdGlvbiBvZiBJbmZlY3Rpb3VzIERpc2Vh
c2VzLCBIYWNldHRlcGUgVW5pdmVyc2l0eSBNZWRpY2FsIFNjaG9vbCwgQW5rYXJhLCBUdXJrZXk7
IEVTQ01JRCBGdW5nYWwgSW5mZWN0aW9uIFN0dWR5IEdyb3VwIChFRklTRyk7IEV1cm9wZWFuIENv
bmZlZGVyYXRpb24gb2YgTWVkaWNhbCBNeWNvbG9neSAoRUNNTSkuJiN4RDtEZXBhcnRtZW50IE1p
Y3JvYmlvbG9naWNhbCBTdXJ2ZWlsbGFuY2UgYW5kIFJlc2VhcmNoLCBTdGF0ZW5zIFNlcnVtIElu
c3RpdHV0ZSwgQ29wZW5oYWdlbiwgRGVubWFyazsgRVNDTUlEIEZ1bmdhbCBJbmZlY3Rpb24gU3R1
ZHkgR3JvdXAgKEVGSVNHKTsgRXVyb3BlYW4gQ29uZmVkZXJhdGlvbiBvZiBNZWRpY2FsIE15Y29s
b2d5IChFQ01NKS4mI3hEO0RlcGFydG1lbnQgb2YgTWVkaWNhbCBNaWNyb2Jpb2xvZ3kgYW5kIElu
ZmVjdGlvdXMgRGlzZWFzZXMsIEluc3RpdHV0ZSBvZiBJbmZlY3Rpb24gYW5kIEltbXVuaXR5LCBT
Y2hvb2wgb2YgTWVkaWNpbmUsIENhcmRpZmYgVW5pdmVyc2l0eSwgQ2FyZGlmZiwgVUs7IEV1cm9w
ZWFuIENvbmZlZGVyYXRpb24gb2YgTWVkaWNhbCBNeWNvbG9neSAoRUNNTSkuJiN4RDtEZXBhcnRt
ZW50IG9mIERpYWdub3N0aWMgYW5kIEludGVydmVudGlvbmFsIFJhZGlvbG9neSwgQ2VudHJlIEhv
c3BpdGFsaWVyIFVuaXZlcnNpdGFpcmUgVmF1ZG9pcyAoQ0hVViksIExhdXNhbm5lLCBTd2l0emVy
bGFuZDsgRXVyb3BlYW4gUmVzcGlyYXRvcnkgU29jaWV0eSAoRVJTKS4mI3hEO0RlcGFydG1lbnQg
b2YgSW50ZXJuYWwgTWVkaWNpbmUsIEdoZW50IFVuaXZlcnNpdHksIEdoZW50LCBCZWxnaXVtOyBC
dXJucywgVHJhdW1hIGFuZCBDcml0aWNhbCBDYXJlIFJlc2VhcmNoIENlbnRyZSwgVW5pdmVyc2l0
eSBvZiBRdWVlbnNsYW5kLCBCcmlzYmFuZSwgQXVzdHJhbGlhOyBFdXJvcGVhbiBSZXNwaXJhdG9y
eSBTb2NpZXR5IChFUlMpLiYjeEQ7UmFkYm91ZCBDZW50cmUgZm9yIEluZmVjdGlvdXMgRGlzZWFz
ZXMsIFJhZGJvdWQgVW5pdmVyc2l0eSBNZWRpY2FsIENlbnRyZSwgQ2VudHJlIG9mIEV4cGVydGlz
ZSBpbiBNeWNvbG9neSBSYWRib3VkdW1jL0NXWiwgRUNNTSBFeGNlbGxlbmNlIENlbnRyZSBvZiBN
ZWRpY2FsIE15Y29sb2d5LCBOaWptZWdlbiwgTmV0aGVybGFuZHM7IEVTQ01JRCBGdW5nYWwgSW5m
ZWN0aW9uIFN0dWR5IEdyb3VwIChFRklTRykuJiN4RDtNZWRpY2FsIENsaW5pYyBJSUksIFVuaXZl
cnNpdHkgSG9zcGl0YWwgTWFubmhlaW0sIE1hbm5oZWltLCBHZXJtYW55OyBFU0NNSUQgRnVuZ2Fs
IEluZmVjdGlvbiBTdHVkeSBHcm91cCAoRUZJU0cpOyBFdXJvcGVhbiBDb25mZWRlcmF0aW9uIG9m
IE1lZGljYWwgTXljb2xvZ3kgKEVDTU0pLiYjeEQ7RGVwYXJ0bWVudCBvZiBQbmV1bW9sb2d5LCBV
bml2ZXJzaXR5IEhvc3BpdGFsIG9mIFRlbm9uIGFuZCBTb3Jib25uZSwgVW5pdmVyc2l0eSBvZiBQ
YXJpcywgUGFyaXMsIEZyYW5jZTsgRXVyb3BlYW4gUmVzcGlyYXRvcnkgU29jaWV0eSAoRVJTKS4m
I3hEO0luZmVjdGlvdXMgRGlzZWFzZXMgVW5pdCwgSXN0aXR1dG8gR2lhbm5pbmEgR2FzbGluaSBD
aGlsZHJlbiZhcG9zO3MgSG9zcGl0YWwsIEdlbm9hLCBJdGFseTsgRVNDTUlEIEZ1bmdhbCBJbmZl
Y3Rpb24gU3R1ZHkgR3JvdXAgKEVGSVNHKS4mI3hEO0RlcGFydG1lbnQgb2YgTWVkaWNhbCBNaWNy
b2Jpb2xvZ3ksIFBvc3RncmFkdWF0ZSBJbnN0aXR1dGUgb2YgTWVkaWNhbCBFZHVjYXRpb24gJmFt
cDsgUmVzZWFyY2gsIENoYW5kaWdhcmgsIEluZGlhOyBFdXJvcGVhbiBDb25mZWRlcmF0aW9uIG9m
IE1lZGljYWwgTXljb2xvZ3kgKEVDTU0pLiYjeEQ7SW5zdGl0dXRvIGRlIFNhbHVkIENhcmxvcyBJ
SUksIE1hZHJpZCwgU3BhaW47IEVTQ01JRCBGdW5nYWwgSW5mZWN0aW9uIFN0dWR5IEdyb3VwIChF
RklTRyk7IEV1cm9wZWFuIENvbmZlZGVyYXRpb24gb2YgTWVkaWNhbCBNeWNvbG9neSAoRUNNTSku
JiN4RDtEZXBhcnRtZW50IG9mIENyaXRpY2FsIENhcmUgTWVkaWNpbmUsIEF0dGlrb24gVW5pdmVy
c2l0eSBIb3NwaXRhbCwgTmF0aW9uYWwgYW5kIEthcG9kaXN0cmlhbiBVbml2ZXJzaXR5IG9mIEF0
aGVucywgTWVkaWNhbCBTY2hvb2wsIEF0aGVucywgR3JlZWNlOyBFdXJvcGVhbiBSZXNwaXJhdG9y
eSBTb2NpZXR5IChFUlMpLiYjeEQ7SW5mZWN0aW91cyBEaXNlYXNlcyBTZXJ2aWNlLCBSYW1vbiB5
IENhamFsIEhvc3BpdGFsLCBNYWRyaWQsIFNwYWluOyBFU0NNSUQgRnVuZ2FsIEluZmVjdGlvbiBT
dHVkeSBHcm91cCAoRUZJU0cpOyBFdXJvcGVhbiBDb25mZWRlcmF0aW9uIG9mIE1lZGljYWwgTXlj
b2xvZ3kgKEVDTU0pLiYjeEQ7VW5pdiBSZW5uZXMsIENIVSBSZW5uZXMsIEluc2VybSwgSXJzZXQg
KEluc3RpdHV0IGRlIFJlY2hlcmNoZSBlbiBzYW50ZSwgZW52aXJvbm5lbWVudCBldCB0cmF2YWls
KSAtIFVNUl9TIDEwODUsIFJlbm5lcywgRnJhbmNlOyBFU0NNSUQgRnVuZ2FsIEluZmVjdGlvbiBT
dHVkeSBHcm91cCAoRUZJU0cpOyBFdXJvcGVhbiBDb25mZWRlcmF0aW9uIG9mIE1lZGljYWwgTXlj
b2xvZ3kgKEVDTU0pLiYjeEQ7RGl2aXNpb24gb2YgSW5mZWN0aW91cyBEaXNlYXNlcywgVW5pdmVy
c2l0eSBIb3NwaXRhbCBvZiBHZW5ldmEsIEdlbmV2YSwgU3dpdHplcmxhbmQ7IEVTQ01JRCBGdW5n
YWwgSW5mZWN0aW9uIFN0dWR5IEdyb3VwIChFRklTRyk7IEV1cm9wZWFuIENvbmZlZGVyYXRpb24g
b2YgTWVkaWNhbCBNeWNvbG9neSAoRUNNTSkuJiN4RDtEZXBhcnRtZW50IG9mIEhhZW1hdG9sb2d5
IGFuZCBPbmNvbG9neSwgVW5pdmVyc2l0eSBIb3NwaXRhbCBvZiBTdHJhc2JvdXJnLCBTdHJhc2Jv
dXJnLCBGcmFuY2U7IEVTQ01JRCBGdW5nYWwgSW5mZWN0aW9uIFN0dWR5IEdyb3VwIChFRklTRyku
JiN4RDtEaWFnbm9zdGljIGFuZCBJbnRlcnZlbnRpb25hbCBSYWRpb2xvZ3ksIFRob3JhY2ljIENs
aW5pYywgVW5pdmVyc2l0eSBIb3NwaXRhbCBIZWlkZWxiZXJnLCBIZWlkZWxiZXJnLCBHZXJtYW55
OyBFdXJvcGVhbiBDb25mZWRlcmF0aW9uIG9mIE1lZGljYWwgTXljb2xvZ3kgKEVDTU0pLiYjeEQ7
Q2VudHJlIGZvciBNZWRpY2FsIE1pY3JvYmlvbG9neSwgVW5pdmVyc2l0eSBDb2xsZWdlIExvbmRv
biwgTG9uZG9uLCBVSzsgRXVyb3BlYW4gQ29uZmVkZXJhdGlvbiBvZiBNZWRpY2FsIE15Y29sb2d5
IChFQ01NKS4mI3hEO0RlcGFydG1lbnQgb2YgQ2xpbmljYWwgTXljb2xvZ3ksIEFsbGVyZ3kgYW5k
IEltbXVub2xvZ3ksIE5vcnRoIFdlc3Rlcm4gU3RhdGUgTWVkaWNhbCBVbml2ZXJzaXR5LCBTdCBQ
ZXRlcnNidXJnLCBSdXNzaWE7IEV1cm9wZWFuIENvbmZlZGVyYXRpb24gb2YgTWVkaWNhbCBNeWNv
bG9neSAoRUNNTSkuJiN4RDtSYWRib3VkIENlbnRyZSBmb3IgSW5mZWN0aW91cyBEaXNlYXNlcywg
UmFkYm91ZCBVbml2ZXJzaXR5IE1lZGljYWwgQ2VudHJlLCBDZW50cmUgb2YgRXhwZXJ0aXNlIGlu
IE15Y29sb2d5IFJhZGJvdWR1bWMvQ1daLCBFQ01NIEV4Y2VsbGVuY2UgQ2VudHJlIG9mIE1lZGlj
YWwgTXljb2xvZ3ksIE5pam1lZ2VuLCBOZXRoZXJsYW5kczsgRVNDTUlEIEZ1bmdhbCBJbmZlY3Rp
b24gU3R1ZHkgR3JvdXAgKEVGSVNHKTsgRXVyb3BlYW4gQ29uZmVkZXJhdGlvbiBvZiBNZWRpY2Fs
IE15Y29sb2d5IChFQ01NKS4mI3hEO0ludGVybmF0aW9uYWwgSGVhbHRoIGFuZCBJbmZlY3Rpb3Vz
IERpc2Vhc2VzLCBVbml2ZXJzaXR5IG9mIEx1YmVjaywgTHViZWNrLCBHZXJtYW55OyBDbGluaWNh
bCBJbmZlY3Rpb3VzIERpc2Vhc2VzLCBSZXNlYXJjaCBDZW50cmUgQm9yc3RlbCwgTGVpYm5peiBD
ZW50ZXIgZm9yIE1lZGljaW5lICZhbXA7IEJpb3NjaWVuY2VzLCBCb3JzdGVsLCBHZXJtYW55OyBH
ZXJtYW4gQ2VudHJlIGZvciBJbmZlY3Rpb24gUmVzZWFyY2ggKERaSUYpLCBUdWJlcmN1bG9zaXMg
VW5pdCwgSGFtYnVyZy1MdWJlY2stQm9yc3RlbC1SaWVtcyBTaXRlLCBMdWJlY2ssIEdlcm1hbnk7
IEV1cm9wZWFuIFJlc3BpcmF0b3J5IFNvY2lldHkgKEVSUykuJiN4RDtEaXZpc2lvbiBvZiBQYWVk
aWF0cmljIEhhZW1hdG9sb2d5IGFuZCBPbmNvbG9neSwgSG9zcGl0YWwgZm9yIENoaWxkcmVuIGFu
ZCBBZG9sZXNjZW50cywgSm9oYW5uIFdvbGZnYW5nIEdvZXRoZS1Vbml2ZXJzaXR5LCBGcmFua2Z1
cnQsIEdlcm1hbnk7IEV1cm9wZWFuIENvbmZlZGVyYXRpb24gb2YgTWVkaWNhbCBNeWNvbG9neSAo
RUNNTSkuJiN4RDtEZXBhcnRtZW50IG9mIEluZmVjdGlvdXMgYW5kIFRyb3BpY2FsIERpc2Vhc2Vz
LCBDaGlsZHJlbiZhcG9zO3MgSG9zcGl0YWwsIFVuaXZlcnNpdHkgb2YgUGFyaXMsIFBhcmlzLCBG
cmFuY2U7IEVTQ01JRCBGdW5nYWwgSW5mZWN0aW9uIFN0dWR5IEdyb3VwIChFRklTRyk7IEV1cm9w
ZWFuIENvbmZlZGVyYXRpb24gb2YgTWVkaWNhbCBNeWNvbG9neSAoRUNNTSkuJiN4RDtEZXBhcnRt
ZW50IG9mIEhhZW1hdG9sb2d5LCBFQ01NIEV4Y2VsbGVuY2UgQ2VudHJlIG9mIE1lZGljYWwgTXlj
b2xvZ3ksIFVuaXZlcnNpdHkgSG9zcGl0YWwgTGV1dmVuLCBMZXV2ZW4sIEJlbGdpdW07IEVTQ01J
RCBGdW5nYWwgSW5mZWN0aW9uIFN0dWR5IEdyb3VwIChFRklTRyk7IEV1cm9wZWFuIENvbmZlZGVy
YXRpb24gb2YgTWVkaWNhbCBNeWNvbG9neSAoRUNNTSkuJiN4RDtJbmZlY3Rpb3VzIERpc2Vhc2Vz
IFNlcnZpY2UsIERlcGFydG1lbnQgb2YgTWVkaWNpbmUsIExhdXNhbm5lIFVuaXZlcnNpdHkgSG9z
cGl0YWwsIExhdXNhbm5lLCBTd2l0emVybGFuZDsgRGVwYXJ0bWVudCBvZiBNZWRpY2luZSwgRW5z
ZW1ibGUgSG9zcGl0YWxpZXIgZGUgbGEgQ290ZSwgTW9yZ2VzLCBTd2l0emVybGFuZDsgRVNDTUlE
IEZ1bmdhbCBJbmZlY3Rpb24gU3R1ZHkgR3JvdXAgKEVGSVNHKTsgRXVyb3BlYW4gQ29uZmVkZXJh
dGlvbiBvZiBNZWRpY2FsIE15Y29sb2d5IChFQ01NKS4mI3hEO0RlcGFydG1lbnQgb2YgTWVkaWNh
bCBNaWNyb2Jpb2xvZ3kgYW5kIEluZmVjdGlvdXMgRGlzZWFzZXMsIENhbmlzaXVzLVdpbGhlbG1p
bmEgSG9zcGl0YWwsIENlbnRyZSBvZiBFeHBlcnRpc2UgaW4gTXljb2xvZ3kgUmFkYm91ZHVtYy9D
V1osIEVDTU0gRXhjZWxsZW5jZSBDZW50cmUgb2YgTWVkaWNhbCBNeWNvbG9neSwgTmlqbWVnZW4s
IE5ldGhlcmxhbmRzOyBFU0NNSUQgRnVuZ2FsIEluZmVjdGlvbiBTdHVkeSBHcm91cCAoRUZJU0cp
OyBFdXJvcGVhbiBDb25mZWRlcmF0aW9uIG9mIE1lZGljYWwgTXljb2xvZ3kgKEVDTU0pLiYjeEQ7
RGVwYXJ0bWVudCBvZiBIYWVtYXRvbG9neSwgVW5pdmVyc2l0YSBDYXR0b2xpY2EgZGVsIFNhY3Jv
IEN1b3JlLCBSb21hLCBJdGFseTsgRXVyb3BlYW4gQ29uZmVkZXJhdGlvbiBvZiBNZWRpY2FsIE15
Y29sb2d5IChFQ01NKS4mI3hEO1F1YWxpdHkgVW5pdCwgUG9sZSBQcmVibG9jLCBTYWludC1Mb3Vp
cyBhbmQgTGFyaWJvaXNpZXJlIEhvc3BpdGFsIEdyb3VwLCBBc3Npc3RhbmNlIFB1YmxpcXVlLUhv
cGl0YXV4IGRlIFBhcmlzLCBQYXJpcywgRnJhbmNlLiYjeEQ7VGhlIE5hdGlvbmFsIEFzcGVyZ2ls
bG9zaXMgQ2VudHJlLCBXeXRoZW5zaGF3ZSBIb3NwaXRhbCwgTXljb2xvZ3kgUmVmZXJlbmNlIENl
bnRyZSBNYW5jaGVzdGVyLCBNYW5jaGVzdGVyIFVuaXZlcnNpdHkgTkhTIEZvdW5kYXRpb24gVHJ1
c3QsIEVDTU0gRXhjZWxsZW5jZSBDZW50cmUgb2YgTWVkaWNhbCBNeWNvbG9neSwgTWFuY2hlc3Rl
ciwgVUs7IFRoZSBVbml2ZXJzaXR5IG9mIE1hbmNoZXN0ZXIsIE1hbmNoZXN0ZXIsIFVLOyBNYW5j
aGVzdGVyIEFjYWRlbWljIEhlYWx0aCBTY2llbmNlIENlbnRyZSwgTWFuY2hlc3RlciwgVUs7IEVT
Q01JRCBGdW5nYWwgSW5mZWN0aW9uIFN0dWR5IEdyb3VwIChFRklTRyk7IEV1cm9wZWFuIENvbmZl
ZGVyYXRpb24gb2YgTWVkaWNhbCBNeWNvbG9neSAoRUNNTSkuJiN4RDtJbmZlY3Rpb3VzIERpc2Vh
c2VzIFVuaXQsIDNyZCBEZXBhcnRtZW50IG9mIFBhZWRpYXRyaWNzLCBGYWN1bHR5IG9mIE1lZGlj
aW5lLCBBcmlzdG90bGUgVW5pdmVyc2l0eSBTY2hvb2wgb2YgSGVhbHRoIFNjaWVuY2VzLCBUaGVz
c2Fsb25pa2ksIEdyZWVjZTsgSGlwcG9rcmF0aW9uIEdlbmVyYWwgSG9zcGl0YWwsIFRoZXNzYWxv
bmlraSwgR3JlZWNlOyBFU0NNSUQgRnVuZ2FsIEluZmVjdGlvbiBTdHVkeSBHcm91cCAoRUZJU0cp
OyBFdXJvcGVhbiBDb25mZWRlcmF0aW9uIG9mIE1lZGljYWwgTXljb2xvZ3kgKEVDTU0pLiYjeEQ7
RGVwYXJ0bWVudCBvZiBIYWVtYXRvbG9neSBhbmQgT25jb2xvZ3ksIFBhcmFjZWxzdXMgSG9zcGl0
YWwsIE9zbmFicnVjaywgR2VybWFueTsgRVNDTUlEIEZ1bmdhbCBJbmZlY3Rpb24gU3R1ZHkgR3Jv
dXAgKEVGSVNHKTsgRXVyb3BlYW4gQ29uZmVkZXJhdGlvbiBvZiBNZWRpY2FsIE15Y29sb2d5IChF
Q01NKS4mI3hEO0luc3RpdHV0ZSBvZiBNaWNyb2Jpb2xvZ3ksIEZvbmRhemlvbmUgUG9saWNsaW5p
Y28gVW5pdmVyc2l0YXJpbyBBLiBHZW1lbGxpIC0gVW5pdmVyc2l0YSBDYXR0b2xpY2EgZGVsIFNh
Y3JvIEN1b3JlLCBSb21lLCBJdGFseTsgRVNDTUlEIEZ1bmdhbCBJbmZlY3Rpb24gU3R1ZHkgR3Jv
dXAgKEVGSVNHKTsgRXVyb3BlYW4gQ29uZmVkZXJhdGlvbiBvZiBNZWRpY2FsIE15Y29sb2d5IChF
Q01NKS4mI3hEO0RpdmlzaW9uIG9mIEluZmVjdGlvdXMgRGlzZWFzZXMsIERlcGFydG1lbnQgb2Yg
TWVkaWNpbmUsIE1pY3JvYmlvbG9neSBhbmQgSW1tdW5vbG9neSwgTWNHaWxsIFVuaXZlcnNpdHks
IE1vbnRyZWFsLCBDYW5hZGE7IEVTQ01JRCBGdW5nYWwgSW5mZWN0aW9uIFN0dWR5IEdyb3VwIChF
RklTRyk7IEV1cm9wZWFuIENvbmZlZGVyYXRpb24gb2YgTWVkaWNhbCBNeWNvbG9neSAoRUNNTSku
JiN4RDtEZXBhcnRtZW50IG9mIEhhZW1hdG9sb2d5IGFuZCBTdGVtIENlbGwgVHJhbnNwbGFudGF0
aW9uLCBTemVudCBJc3R2YW4gYW5kIFN6ZW50IExhc3psbyBIb3NwaXRhbCwgQnVkYXBlc3QsIEh1
bmdhcnk7IEVTQ01JRCBGdW5nYWwgSW5mZWN0aW9uIFN0dWR5IEdyb3VwIChFRklTRykuJiN4RDtG
aXJzdCBEZXBhcnRtZW50IG9mIE1lZGljaW5lLCBMYWlrbyBIb3NwaXRhbCwgTmF0aW9uYWwgYW5k
IEthcG9kaXN0cmlhbiBVbml2ZXJzaXR5IG9mIEF0aGVucywgQXRoZW5zLCBHcmVlY2U7IEVTQ01J
RCBGdW5nYWwgSW5mZWN0aW9uIFN0dWR5IEdyb3VwIChFRklTRyk7IEV1cm9wZWFuIENvbmZlZGVy
YXRpb24gb2YgTWVkaWNhbCBNeWNvbG9neSAoRUNNTSkuJiN4RDtEZXBhcnRtZW50IEkgb2YgSW50
ZXJuYWwgTWVkaWNpbmUsIEVDTU0gRXhjZWxsZW5jZSBDZW50cmUgb2YgTWVkaWNhbCBNeWNvbG9n
eSwgVW5pdmVyc2l0eSBIb3NwaXRhbCBvZiBDb2xvZ25lLCBDb2xvZ25lLCBHZXJtYW55OyBDZW50
cmUgZm9yIEludGVncmF0ZWQgT25jb2xvZ3ksIENvbG9nbmUtQm9ubiwgVW5pdmVyc2l0eSBvZiBD
b2xvZ25lLCBDb2xvZ25lLCBHZXJtYW55OyBHZXJtYW4gQ2VudHJlIGZvciBJbmZlY3Rpb24gUmVz
ZWFyY2ggKERaSUYpIHBhcnRuZXIgc2l0ZSBCb25uLUNvbG9nbmUsIENvbG9nbmUsIEdlcm1hbnk7
IEV1cm9wZWFuIENvbmZlZGVyYXRpb24gb2YgTWVkaWNhbCBNeWNvbG9neSAoRUNNTSkuJiN4RDtP
c3BlZGFsZSBQb2xpY2xpbmljbyBTYW4gTWFydGlubyBhbmQgVW5pdmVyc2l0eSBvZiBHZW5vdmEg
KERJU1NBTCksIEdlbm92YSwgSXRhbHk7IEVTQ01JRCBGdW5nYWwgSW5mZWN0aW9uIFN0dWR5IEdy
b3VwIChFRklTRyk7IEV1cm9wZWFuIENvbmZlZGVyYXRpb24gb2YgTWVkaWNhbCBNeWNvbG9neSAo
RUNNTSkuJiN4RDtGaXJzdCBEZXBhcnRtZW50IG9mIE1lZGljaW5lLCBMYWlrbyBIb3NwaXRhbCwg
TmF0aW9uYWwgYW5kIEthcG9kaXN0cmlhbiBVbml2ZXJzaXR5IG9mIEF0aGVucywgQXRoZW5zLCBH
cmVlY2U7IEdlcm1hbiBDZW50cmUgZm9yIEluZmVjdGlvbiBSZXNlYXJjaCAoRFpJRikgcGFydG5l
ciBzaXRlIEJvbm4tQ29sb2duZSwgQ29sb2duZSwgR2VybWFueTsgQ0VDQUQgQ2x1c3RlciBvZiBF
eGNlbGxlbmNlLCBVbml2ZXJzaXR5IG9mIENvbG9nbmUsIENvbG9nbmUsIEdlcm1hbnk7IENsaW5p
Y2FsIFRyaWFscyBDZW50ZXIgQ29sb2duZSwgVW5pdmVyc2l0eSBIb3NwaXRhbCBvZiBDb2xvZ25l
LCBDb2xvZ25lLCBHZXJtYW55OyBFU0NNSUQgRnVuZ2FsIEluZmVjdGlvbiBTdHVkeSBHcm91cCAo
RUZJU0cpOyBFdXJvcGVhbiBDb25mZWRlcmF0aW9uIG9mIE1lZGljYWwgTXljb2xvZ3kgKEVDTU0p
OyBFU0NNSUQgRXVyb3BlYW4gU3R1ZHkgR3JvdXAgZm9yIEluZmVjdGlvbnMgaW4gQ29tcHJvbWlz
ZWQgSG9zdHMgKEVTR0lDSCkuIEVsZWN0cm9uaWMgYWRkcmVzczogT2xpdmVyLmNvcm5lbHlAdWst
a29lbG4uZGUuPC9hdXRoLWFkZHJlc3M+PHRpdGxlcz48dGl0bGU+RGlhZ25vc2lzIGFuZCBtYW5h
Z2VtZW50IG9mIEFzcGVyZ2lsbHVzIGRpc2Vhc2VzOiBleGVjdXRpdmUgc3VtbWFyeSBvZiB0aGUg
MjAxNyBFU0NNSUQtRUNNTS1FUlMgZ3VpZGVsaW5lPC90aXRsZT48c2Vjb25kYXJ5LXRpdGxlPkNs
aW4gTWljcm9iaW9sIEluZmVjdDwvc2Vjb25kYXJ5LXRpdGxlPjwvdGl0bGVzPjxwZXJpb2RpY2Fs
PjxmdWxsLXRpdGxlPkNsaW4gTWljcm9iaW9sIEluZmVjdDwvZnVsbC10aXRsZT48L3BlcmlvZGlj
YWw+PHBhZ2VzPmUxLWUzODwvcGFnZXM+PHZvbHVtZT4yNCBTdXBwbCAxPC92b2x1bWU+PGVkaXRp
b24+MjAxOC8wMy8xNzwvZWRpdGlvbj48a2V5d29yZHM+PGtleXdvcmQ+QXNwZXJnaWxsb3Npczwv
a2V5d29yZD48a2V5d29yZD5EaWFnbm9zaXM8L2tleXdvcmQ+PGtleXdvcmQ+SGFlbWF0b2xvZ3k8
L2tleXdvcmQ+PGtleXdvcmQ+SW52YXNpdmUgZnVuZ2FsIGluZmVjdGlvbjwva2V5d29yZD48a2V5
d29yZD5UcmFuc3BsYW50YXRpb248L2tleXdvcmQ+PGtleXdvcmQ+VHJlYXRtZW50PC9rZXl3b3Jk
Pjwva2V5d29yZHM+PGRhdGVzPjx5ZWFyPjIwMTg8L3llYXI+PHB1Yi1kYXRlcz48ZGF0ZT5NYXk8
L2RhdGU+PC9wdWItZGF0ZXM+PC9kYXRlcz48aXNibj4xNDY5LTA2OTEgKEVsZWN0cm9uaWMpJiN4
RDsxMTk4LTc0M1ggKExpbmtpbmcpPC9pc2JuPjxhY2Nlc3Npb24tbnVtPjI5NTQ0NzY3PC9hY2Nl
c3Npb24tbnVtPjx1cmxzPjxyZWxhdGVkLXVybHM+PHVybD5odHRwczovL3d3dy5uY2JpLm5sbS5u
aWguZ292L3B1Ym1lZC8yOTU0NDc2NzwvdXJsPjwvcmVsYXRlZC11cmxzPjwvdXJscz48ZWxlY3Ry
b25pYy1yZXNvdXJjZS1udW0+MTAuMTAxNi9qLmNtaS4yMDE4LjAxLjAwMjwvZWxlY3Ryb25pYy1y
ZXNvdXJjZS1udW0+PC9yZWNvcmQ+PC9DaXRlPjwvRW5kTm90ZT5AAA==
</w:fldData>
        </w:fldChar>
      </w:r>
      <w:r>
        <w:instrText xml:space="preserve"> ADDIN EN.CITE.DATA </w:instrText>
      </w:r>
      <w:r>
        <w:fldChar w:fldCharType="end"/>
      </w:r>
      <w:r>
        <w:fldChar w:fldCharType="separate"/>
      </w:r>
      <w:r>
        <w:t>[14]</w:t>
      </w:r>
      <w:r>
        <w:fldChar w:fldCharType="end"/>
      </w:r>
      <w:r>
        <w:rPr>
          <w:rFonts w:hint="eastAsia"/>
        </w:rPr>
        <w:t xml:space="preserve">，在国外医院中应用较多 </w:t>
      </w:r>
      <w:r>
        <w:fldChar w:fldCharType="begin"/>
      </w:r>
      <w:r>
        <w:instrText xml:space="preserve"> ADDIN EN.CITE &lt;EndNote&gt;&lt;Cite&gt;&lt;Author&gt;Rosner&lt;/Author&gt;&lt;Year&gt;2002&lt;/Year&gt;&lt;RecNum&gt;5&lt;/RecNum&gt;&lt;DisplayText&gt;[15]&lt;/DisplayText&gt;&lt;record&gt;&lt;rec-number&gt;5&lt;/rec-number&gt;&lt;foreign-keys&gt;&lt;key app="EN" db-id="wpsw5p5parwd99e5z2sp05alf9x5vz9z520s" timestamp="1529993733"&gt;5&lt;/key&gt;&lt;/foreign-keys&gt;&lt;ref-type name="Journal Article"&gt;17&lt;/ref-type&gt;&lt;contributors&gt;&lt;authors&gt;&lt;author&gt;Rosner, E. R.&lt;/author&gt;&lt;author&gt;Reiss, E.&lt;/author&gt;&lt;author&gt;Warren, N. G.&lt;/author&gt;&lt;author&gt;Shadomy, H. J.&lt;/author&gt;&lt;author&gt;Lipman, H. B.&lt;/author&gt;&lt;/authors&gt;&lt;/contributors&gt;&lt;auth-address&gt;Division of Laboratory Systems, Public Health Practice Program Office, National Center for Infectious Diseases, Centers for Disease Control and Prevention, Atlanta, GA 30341, USA.&lt;/auth-address&gt;&lt;titles&gt;&lt;title&gt;Evaluation of the status of laboratory practices and the need for continuing education in medical mycology&lt;/title&gt;&lt;secondary-title&gt;Am J Clin Pathol&lt;/secondary-title&gt;&lt;/titles&gt;&lt;periodical&gt;&lt;full-title&gt;Am J Clin Pathol&lt;/full-title&gt;&lt;/periodical&gt;&lt;pages&gt;278-86&lt;/pages&gt;&lt;volume&gt;118&lt;/volume&gt;&lt;number&gt;2&lt;/number&gt;&lt;edition&gt;2002/08/07&lt;/edition&gt;&lt;keywords&gt;&lt;keyword&gt;*Education, Medical, Continuing&lt;/keyword&gt;&lt;keyword&gt;Fungi/isolation &amp;amp; purification&lt;/keyword&gt;&lt;keyword&gt;Humans&lt;/keyword&gt;&lt;keyword&gt;Medical Laboratory Personnel/*education&lt;/keyword&gt;&lt;keyword&gt;Mycology/*education&lt;/keyword&gt;&lt;keyword&gt;Mycoses/diagnosis&lt;/keyword&gt;&lt;/keywords&gt;&lt;dates&gt;&lt;year&gt;2002&lt;/year&gt;&lt;pub-dates&gt;&lt;date&gt;Aug&lt;/date&gt;&lt;/pub-dates&gt;&lt;/dates&gt;&lt;isbn&gt;0002-9173 (Print)&amp;#xD;0002-9173 (Linking)&lt;/isbn&gt;&lt;accession-num&gt;12162690&lt;/accession-num&gt;&lt;urls&gt;&lt;related-urls&gt;&lt;url&gt;https://www.ncbi.nlm.nih.gov/pubmed/12162690&lt;/url&gt;&lt;/related-urls&gt;&lt;/urls&gt;&lt;electronic-resource-num&gt;10.1309/RR95-P7DN-41LW-1LGQ&lt;/electronic-resource-num&gt;&lt;/record&gt;&lt;/Cite&gt;&lt;/EndNote&gt;</w:instrText>
      </w:r>
      <w:r>
        <w:fldChar w:fldCharType="separate"/>
      </w:r>
      <w:r>
        <w:t>[15]</w:t>
      </w:r>
      <w:r>
        <w:fldChar w:fldCharType="end"/>
      </w:r>
      <w:r>
        <w:rPr>
          <w:rFonts w:hint="eastAsia"/>
        </w:rPr>
        <w:t>。与其他染色方法（尤其是传统的KOH湿片法）相比，荧光染色法方便快捷，适用范围广，而且由于视野清晰，荧光易于观察，可有效降低漏检率，提高皮屑真菌检测的准确率。有文献报道，与光学显微镜的检测结果相比，使用荧光染色法对指甲样本检测，检出率可提高3</w:t>
      </w:r>
      <w:r>
        <w:t>0</w:t>
      </w:r>
      <w:r>
        <w:rPr>
          <w:rFonts w:hint="eastAsia"/>
        </w:rPr>
        <w:t>%</w:t>
      </w:r>
      <w:r>
        <w:t xml:space="preserve"> </w:t>
      </w:r>
      <w:r>
        <w:fldChar w:fldCharType="begin"/>
      </w:r>
      <w:r>
        <w:instrText xml:space="preserve"> ADDIN EN.CITE &lt;EndNote&gt;&lt;Cite&gt;&lt;Author&gt;Lasseter&lt;/Author&gt;&lt;Year&gt;2016&lt;/Year&gt;&lt;RecNum&gt;12&lt;/RecNum&gt;&lt;DisplayText&gt;[16]&lt;/DisplayText&gt;&lt;record&gt;&lt;rec-number&gt;12&lt;/rec-number&gt;&lt;foreign-keys&gt;&lt;key app="EN" db-id="wpsw5p5parwd99e5z2sp05alf9x5vz9z520s" timestamp="1530436205"&gt;12&lt;/key&gt;&lt;key app="ENWeb" db-id=""&gt;0&lt;/key&gt;&lt;/foreign-keys&gt;&lt;ref-type name="Journal Article"&gt;17&lt;/ref-type&gt;&lt;contributors&gt;&lt;authors&gt;&lt;author&gt;Lasseter, G.&lt;/author&gt;&lt;author&gt;Palmer, M.&lt;/author&gt;&lt;author&gt;Morgan, J.&lt;/author&gt;&lt;author&gt;Watts, J.&lt;/author&gt;&lt;author&gt;Yoxall, H.&lt;/author&gt;&lt;author&gt;Kibbler, C.&lt;/author&gt;&lt;author&gt;McNulty, C.&lt;/author&gt;&lt;/authors&gt;&lt;/contributors&gt;&lt;titles&gt;&lt;title&gt;Developing best practice for fungal specimen management: audit of UK microbiology laboratories&lt;/title&gt;&lt;secondary-title&gt;British Journal of Biomedical Science&lt;/secondary-title&gt;&lt;/titles&gt;&lt;periodical&gt;&lt;full-title&gt;British Journal of Biomedical Science&lt;/full-title&gt;&lt;/periodical&gt;&lt;pages&gt;197-202&lt;/pages&gt;&lt;volume&gt;68&lt;/volume&gt;&lt;number&gt;4&lt;/number&gt;&lt;section&gt;197&lt;/section&gt;&lt;dates&gt;&lt;year&gt;2016&lt;/year&gt;&lt;/dates&gt;&lt;isbn&gt;0967-4845&lt;/isbn&gt;&lt;urls&gt;&lt;/urls&gt;&lt;electronic-resource-num&gt;10.1080/09674845.2011.11730350&lt;/electronic-resource-num&gt;&lt;/record&gt;&lt;/Cite&gt;&lt;/EndNote&gt;</w:instrText>
      </w:r>
      <w:r>
        <w:fldChar w:fldCharType="separate"/>
      </w:r>
      <w:r>
        <w:t>[16]</w:t>
      </w:r>
      <w:r>
        <w:fldChar w:fldCharType="end"/>
      </w:r>
      <w:r>
        <w:rPr>
          <w:rFonts w:hint="eastAsia"/>
        </w:rPr>
        <w:t>。中国也有研究显示，对真菌性角膜炎患者的角膜刮片进行涂片镜检，在同一涂片先行K</w:t>
      </w:r>
      <w:r>
        <w:t xml:space="preserve">OH </w:t>
      </w:r>
      <w:r>
        <w:rPr>
          <w:rFonts w:hint="eastAsia"/>
        </w:rPr>
        <w:t>湿片镜检然后行</w:t>
      </w:r>
      <w:r>
        <w:t>CFW</w:t>
      </w:r>
      <w:r>
        <w:rPr>
          <w:rFonts w:hint="eastAsia"/>
        </w:rPr>
        <w:t>荧光染色镜检的情况下，CFW荧光染色的阳性率高出1</w:t>
      </w:r>
      <w:r>
        <w:t>5</w:t>
      </w:r>
      <w:r>
        <w:rPr>
          <w:rFonts w:hint="eastAsia"/>
        </w:rPr>
        <w:t>%</w:t>
      </w:r>
      <w:r>
        <w:t xml:space="preserve"> </w:t>
      </w:r>
      <w:r>
        <w:rPr>
          <w:rFonts w:hint="eastAsia"/>
        </w:rPr>
        <w:t>（9</w:t>
      </w:r>
      <w:r>
        <w:t>6.6</w:t>
      </w:r>
      <w:r>
        <w:rPr>
          <w:rFonts w:hint="eastAsia"/>
        </w:rPr>
        <w:t>%</w:t>
      </w:r>
      <w:r>
        <w:t xml:space="preserve"> vs. 81.0%</w:t>
      </w:r>
      <w:r>
        <w:rPr>
          <w:rFonts w:hint="eastAsia"/>
        </w:rPr>
        <w:t>）</w:t>
      </w:r>
      <w:r>
        <w:fldChar w:fldCharType="begin"/>
      </w:r>
      <w:r>
        <w:rPr>
          <w:rFonts w:hint="eastAsia"/>
        </w:rPr>
        <w:instrText xml:space="preserve"> ADDIN EN.CITE &lt;EndNote&gt;&lt;Cite&gt;&lt;Author&gt;张伟宏&lt;/Author&gt;&lt;Year&gt;201&lt;/Year&gt;&lt;RecNum&gt;22&lt;/RecNum&gt;&lt;DisplayText&gt;[17]&lt;/DisplayText&gt;&lt;record&gt;&lt;rec-number&gt;22&lt;/rec-number&gt;&lt;foreign-keys&gt;&lt;key app="EN" db-id="wpsw5p5parwd99e5z2sp05alf9x5vz9z520s" timestamp="1531217033"&gt;22&lt;/key&gt;&lt;key app="ENWeb" db-id=""&gt;0&lt;/key&gt;&lt;/foreign-keys&gt;&lt;ref-type name="Journal Article"&gt;17&lt;/ref-type&gt;&lt;contributors&gt;&lt;authors&gt;&lt;author&gt;&lt;style face="normal" font="default" charset="134" size="100%"&gt;张伟宏&lt;/style&gt;&lt;/author&gt;&lt;author&gt;&lt;style face="normal" font="default" charset="134" size="100%"&gt;王丽娅&lt;/style&gt;&lt;/author&gt;&lt;author&gt;&lt;style face="normal" font="default" charset="134" size="100%"&gt;韩雷&lt;/style&gt;&lt;/author&gt;&lt;author&gt;&lt;style face="normal" font="default" charset="134" size="100%"&gt;孙声桃&lt;/style&gt;&lt;/author&gt;&lt;author&gt;&lt;style face="normal" font="default" charset="134" size="100%"&gt;吴细丕&lt;/style&gt;&lt;/author&gt;&lt;/authors&gt;&lt;/contributors&gt;&lt;titles&gt;&lt;title&gt;&lt;style face="normal" font="default" size="100%"&gt;KOH&lt;/style&gt;&lt;style face="normal" font="default" charset="134" size="100%"&gt;湿片镜检法与&lt;/style&gt;&lt;style face="normal" font="default" size="100%"&gt;CFW&lt;/style&gt;&lt;style face="normal" font="default" charset="134" size="100%"&gt;荧光染色法诊断真菌性角膜炎的效果比较&lt;/style&gt;&lt;/title&gt;&lt;secondary-title&gt;&lt;style face="normal" font="default" charset="134" size="100%"&gt;郑州大学学报（医学版）&lt;/style&gt;&lt;/secondary-title&gt;&lt;/titles&gt;&lt;periodical&gt;&lt;full-title&gt;郑州大学学报（医学版）&lt;/full-title&gt;&lt;/periodical&gt;&lt;pages&gt;193-194&lt;/pages&gt;&lt;volume&gt;45&lt;/volume&gt;&lt;number&gt;2&lt;/number&gt;&lt;dates&gt;&lt;year&gt;201&lt;/year&gt;&lt;/dates&gt;&lt;urls&gt;&lt;/urls&gt;&lt;/record&gt;&lt;/Cite&gt;&lt;/EndNote&gt;</w:instrText>
      </w:r>
      <w:r>
        <w:fldChar w:fldCharType="separate"/>
      </w:r>
      <w:r>
        <w:t>[17]</w:t>
      </w:r>
      <w:r>
        <w:fldChar w:fldCharType="end"/>
      </w:r>
      <w:r>
        <w:rPr>
          <w:rFonts w:hint="eastAsia"/>
        </w:rPr>
        <w:t>。然而，可能由于使用荧光染色法需要检验室配备荧光显微镜，成本较高，因此目前中国医院较少使用该染色法。Chindamporn等人于7</w:t>
      </w:r>
      <w:r>
        <w:t>1</w:t>
      </w:r>
      <w:r>
        <w:rPr>
          <w:rFonts w:hint="eastAsia"/>
        </w:rPr>
        <w:t>家中国医院的调查结果表明，我国配备荧光显微镜的真菌检测室不足34%</w:t>
      </w:r>
      <w:r>
        <w:t xml:space="preserve"> </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w:t>
      </w:r>
    </w:p>
    <w:p>
      <w:r>
        <w:rPr>
          <w:rFonts w:hint="eastAsia"/>
        </w:rPr>
        <w:t>综上所述，临床上可供选择的涂片方法种类较多，但由于这些染色方法各有利弊，分别适用于不同的样本或菌种，因此三甲医院应在有条件的情况下尽可能配备多种染色方法，以满足各种样本的检测需求。此外，荧光染色法和六胺银染色法的配备也可从侧面反映出较高的真菌检测能力。此次调研中，同时配备这两种方法的医院平均得分达5</w:t>
      </w:r>
      <w:r>
        <w:t>0</w:t>
      </w:r>
      <w:r>
        <w:rPr>
          <w:rFonts w:hint="eastAsia"/>
        </w:rPr>
        <w:t>分，远高于全国平均水平。</w:t>
      </w:r>
    </w:p>
    <w:p>
      <w:pPr>
        <w:ind w:firstLine="0"/>
      </w:pPr>
    </w:p>
    <w:p>
      <w:pPr>
        <w:pStyle w:val="4"/>
        <w:numPr>
          <w:ilvl w:val="0"/>
          <w:numId w:val="11"/>
        </w:numPr>
      </w:pPr>
      <w:bookmarkStart w:id="95" w:name="_Toc519069715"/>
      <w:r>
        <w:rPr>
          <w:rFonts w:hint="eastAsia"/>
        </w:rPr>
        <w:t>药敏试验开展现状</w:t>
      </w:r>
      <w:bookmarkEnd w:id="95"/>
    </w:p>
    <w:p>
      <w:r>
        <w:rPr>
          <w:rFonts w:hint="eastAsia"/>
        </w:rPr>
        <w:t>与细菌耐药相比，真菌耐药的发生率较低，整体药敏情况较为稳定。目前，我国多数临床真菌菌株对主要抗真菌药物的敏感性仍然较高。中国侵袭性真菌耐药监测网（CHIF</w:t>
      </w:r>
      <w:r>
        <w:t>-NET</w:t>
      </w:r>
      <w:r>
        <w:rPr>
          <w:rFonts w:hint="eastAsia"/>
        </w:rPr>
        <w:t>）</w:t>
      </w:r>
      <w:r>
        <w:t>2009</w:t>
      </w:r>
      <w:r>
        <w:rPr>
          <w:rFonts w:hint="eastAsia"/>
        </w:rPr>
        <w:t>~</w:t>
      </w:r>
      <w:r>
        <w:t>2010</w:t>
      </w:r>
      <w:r>
        <w:rPr>
          <w:rFonts w:hint="eastAsia"/>
        </w:rPr>
        <w:t xml:space="preserve">年数据显示 </w:t>
      </w:r>
      <w:r>
        <w:fldChar w:fldCharType="begin">
          <w:fldData xml:space="preserve">PEVuZE5vdGU+PENpdGU+PEF1dGhvcj5XYW5nPC9BdXRob3I+PFllYXI+MjAxMjwvWWVhcj48UmVj
TnVtPjk8L1JlY051bT48RGlzcGxheVRleHQ+WzE4XTwvRGlzcGxheVRleHQ+PHJlY29yZD48cmVj
LW51bWJlcj45PC9yZWMtbnVtYmVyPjxmb3JlaWduLWtleXM+PGtleSBhcHA9IkVOIiBkYi1pZD0i
d3BzdzVwNXBhcndkOTllNXoyc3AwNWFsZjl4NXZ6OXo1MjBzIiB0aW1lc3RhbXA9IjE1MzAwMDky
MDEiPjk8L2tleT48a2V5IGFwcD0iRU5XZWIiIGRiLWlkPSIiPjA8L2tleT48L2ZvcmVpZ24ta2V5
cz48cmVmLXR5cGUgbmFtZT0iSm91cm5hbCBBcnRpY2xlIj4xNzwvcmVmLXR5cGU+PGNvbnRyaWJ1
dG9ycz48YXV0aG9ycz48YXV0aG9yPldhbmcsIEguPC9hdXRob3I+PGF1dGhvcj5YaWFvLCBNLjwv
YXV0aG9yPjxhdXRob3I+Q2hlbiwgUy4gQy48L2F1dGhvcj48YXV0aG9yPktvbmcsIEYuPC9hdXRo
b3I+PGF1dGhvcj5TdW4sIFouIFkuPC9hdXRob3I+PGF1dGhvcj5MaWFvLCBLLjwvYXV0aG9yPjxh
dXRob3I+THUsIEouPC9hdXRob3I+PGF1dGhvcj5TaGFvLCBILiBGLjwvYXV0aG9yPjxhdXRob3I+
WWFuLCBZLjwvYXV0aG9yPjxhdXRob3I+RmFuLCBILjwvYXV0aG9yPjxhdXRob3I+SHUsIFouIEQu
PC9hdXRob3I+PGF1dGhvcj5DaHUsIFkuIFouPC9hdXRob3I+PGF1dGhvcj5IdSwgVC4gUy48L2F1
dGhvcj48YXV0aG9yPk5pLCBZLiBYLjwvYXV0aG9yPjxhdXRob3I+Wm91LCBHLiBMLjwvYXV0aG9y
PjxhdXRob3I+WHUsIFkuIEMuPC9hdXRob3I+PC9hdXRob3JzPjwvY29udHJpYnV0b3JzPjxhdXRo
LWFkZHJlc3M+RGVwYXJ0bWVudCBvZiBDbGluaWNhbCBMYWJvcmF0b3J5LCBQZWtpbmcgVW5pb24g
TWVkaWNhbCBDb2xsZWdlIEhvc3BpdGFsLCBDaGluZXNlIEFjYWRlbXkgb2YgTWVkaWNhbCBTY2ll
bmNlcywgQmVpamluZywgQ2hpbmEuPC9hdXRoLWFkZHJlc3M+PHRpdGxlcz48dGl0bGU+SW4gdml0
cm8gc3VzY2VwdGliaWxpdGllcyBvZiB5ZWFzdCBzcGVjaWVzIHRvIGZsdWNvbmF6b2xlIGFuZCB2
b3JpY29uYXpvbGUgYXMgZGV0ZXJtaW5lZCBieSB0aGUgMjAxMCBOYXRpb25hbCBDaGluYSBIb3Nw
aXRhbCBJbnZhc2l2ZSBGdW5nYWwgU3VydmVpbGxhbmNlIE5ldCAoQ0hJRi1ORVQpIHN0dWR5PC90
aXRsZT48c2Vjb25kYXJ5LXRpdGxlPkogQ2xpbiBNaWNyb2Jpb2w8L3NlY29uZGFyeS10aXRsZT48
L3RpdGxlcz48cGVyaW9kaWNhbD48ZnVsbC10aXRsZT5KIENsaW4gTWljcm9iaW9sPC9mdWxsLXRp
dGxlPjwvcGVyaW9kaWNhbD48cGFnZXM+Mzk1Mi05PC9wYWdlcz48dm9sdW1lPjUwPC92b2x1bWU+
PG51bWJlcj4xMjwvbnVtYmVyPjxlZGl0aW9uPjIwMTIvMTAvMDU8L2VkaXRpb24+PGtleXdvcmRz
PjxrZXl3b3JkPkFudGlmdW5nYWwgQWdlbnRzLypwaGFybWFjb2xvZ3k8L2tleXdvcmQ+PGtleXdv
cmQ+Q2hpbmE8L2tleXdvcmQ+PGtleXdvcmQ+Q3Jvc3MgSW5mZWN0aW9uLyptaWNyb2Jpb2xvZ3k8
L2tleXdvcmQ+PGtleXdvcmQ+RHJ1ZyBSZXNpc3RhbmNlLCBGdW5nYWw8L2tleXdvcmQ+PGtleXdv
cmQ+RXBpZGVtaW9sb2dpY2FsIE1vbml0b3Jpbmc8L2tleXdvcmQ+PGtleXdvcmQ+Rmx1Y29uYXpv
bGUvKnBoYXJtYWNvbG9neTwva2V5d29yZD48a2V5d29yZD5IdW1hbnM8L2tleXdvcmQ+PGtleXdv
cmQ+TXljb3Nlcy8qbWljcm9iaW9sb2d5PC9rZXl3b3JkPjxrZXl3b3JkPlByb3NwZWN0aXZlIFN0
dWRpZXM8L2tleXdvcmQ+PGtleXdvcmQ+UHlyaW1pZGluZXMvKnBoYXJtYWNvbG9neTwva2V5d29y
ZD48a2V5d29yZD5Ucmlhem9sZXMvKnBoYXJtYWNvbG9neTwva2V5d29yZD48a2V5d29yZD5Wb3Jp
Y29uYXpvbGU8L2tleXdvcmQ+PGtleXdvcmQ+WWVhc3RzL2NsYXNzaWZpY2F0aW9uLypkcnVnIGVm
ZmVjdHMvZ2VuZXRpY3MvaXNvbGF0aW9uICZhbXA7IHB1cmlmaWNhdGlvbjwva2V5d29yZD48L2tl
eXdvcmRzPjxkYXRlcz48eWVhcj4yMDEyPC95ZWFyPjxwdWItZGF0ZXM+PGRhdGU+RGVjPC9kYXRl
PjwvcHViLWRhdGVzPjwvZGF0ZXM+PGlzYm4+MTA5OC02NjBYIChFbGVjdHJvbmljKSYjeEQ7MDA5
NS0xMTM3IChMaW5raW5nKTwvaXNibj48YWNjZXNzaW9uLW51bT4yMzAzNTIwNDwvYWNjZXNzaW9u
LW51bT48dXJscz48cmVsYXRlZC11cmxzPjx1cmw+aHR0cHM6Ly93d3cubmNiaS5ubG0ubmloLmdv
di9wdWJtZWQvMjMwMzUyMDQ8L3VybD48L3JlbGF0ZWQtdXJscz48L3VybHM+PGN1c3RvbTI+UE1D
MzUwMjk2MDwvY3VzdG9tMj48ZWxlY3Ryb25pYy1yZXNvdXJjZS1udW0+MTAuMTEyOC9KQ00uMDEx
MzAtMTI8L2VsZWN0cm9uaWMtcmVzb3VyY2UtbnVtPjwvcmVjb3JkPjwvQ2l0ZT48L0VuZE5vdGU+
AGAA
</w:fldData>
        </w:fldChar>
      </w:r>
      <w:r>
        <w:instrText xml:space="preserve"> ADDIN EN.CITE </w:instrText>
      </w:r>
      <w:r>
        <w:fldChar w:fldCharType="begin">
          <w:fldData xml:space="preserve">PEVuZE5vdGU+PENpdGU+PEF1dGhvcj5XYW5nPC9BdXRob3I+PFllYXI+MjAxMjwvWWVhcj48UmVj
TnVtPjk8L1JlY051bT48RGlzcGxheVRleHQ+WzE4XTwvRGlzcGxheVRleHQ+PHJlY29yZD48cmVj
LW51bWJlcj45PC9yZWMtbnVtYmVyPjxmb3JlaWduLWtleXM+PGtleSBhcHA9IkVOIiBkYi1pZD0i
d3BzdzVwNXBhcndkOTllNXoyc3AwNWFsZjl4NXZ6OXo1MjBzIiB0aW1lc3RhbXA9IjE1MzAwMDky
MDEiPjk8L2tleT48a2V5IGFwcD0iRU5XZWIiIGRiLWlkPSIiPjA8L2tleT48L2ZvcmVpZ24ta2V5
cz48cmVmLXR5cGUgbmFtZT0iSm91cm5hbCBBcnRpY2xlIj4xNzwvcmVmLXR5cGU+PGNvbnRyaWJ1
dG9ycz48YXV0aG9ycz48YXV0aG9yPldhbmcsIEguPC9hdXRob3I+PGF1dGhvcj5YaWFvLCBNLjwv
YXV0aG9yPjxhdXRob3I+Q2hlbiwgUy4gQy48L2F1dGhvcj48YXV0aG9yPktvbmcsIEYuPC9hdXRo
b3I+PGF1dGhvcj5TdW4sIFouIFkuPC9hdXRob3I+PGF1dGhvcj5MaWFvLCBLLjwvYXV0aG9yPjxh
dXRob3I+THUsIEouPC9hdXRob3I+PGF1dGhvcj5TaGFvLCBILiBGLjwvYXV0aG9yPjxhdXRob3I+
WWFuLCBZLjwvYXV0aG9yPjxhdXRob3I+RmFuLCBILjwvYXV0aG9yPjxhdXRob3I+SHUsIFouIEQu
PC9hdXRob3I+PGF1dGhvcj5DaHUsIFkuIFouPC9hdXRob3I+PGF1dGhvcj5IdSwgVC4gUy48L2F1
dGhvcj48YXV0aG9yPk5pLCBZLiBYLjwvYXV0aG9yPjxhdXRob3I+Wm91LCBHLiBMLjwvYXV0aG9y
PjxhdXRob3I+WHUsIFkuIEMuPC9hdXRob3I+PC9hdXRob3JzPjwvY29udHJpYnV0b3JzPjxhdXRo
LWFkZHJlc3M+RGVwYXJ0bWVudCBvZiBDbGluaWNhbCBMYWJvcmF0b3J5LCBQZWtpbmcgVW5pb24g
TWVkaWNhbCBDb2xsZWdlIEhvc3BpdGFsLCBDaGluZXNlIEFjYWRlbXkgb2YgTWVkaWNhbCBTY2ll
bmNlcywgQmVpamluZywgQ2hpbmEuPC9hdXRoLWFkZHJlc3M+PHRpdGxlcz48dGl0bGU+SW4gdml0
cm8gc3VzY2VwdGliaWxpdGllcyBvZiB5ZWFzdCBzcGVjaWVzIHRvIGZsdWNvbmF6b2xlIGFuZCB2
b3JpY29uYXpvbGUgYXMgZGV0ZXJtaW5lZCBieSB0aGUgMjAxMCBOYXRpb25hbCBDaGluYSBIb3Nw
aXRhbCBJbnZhc2l2ZSBGdW5nYWwgU3VydmVpbGxhbmNlIE5ldCAoQ0hJRi1ORVQpIHN0dWR5PC90
aXRsZT48c2Vjb25kYXJ5LXRpdGxlPkogQ2xpbiBNaWNyb2Jpb2w8L3NlY29uZGFyeS10aXRsZT48
L3RpdGxlcz48cGVyaW9kaWNhbD48ZnVsbC10aXRsZT5KIENsaW4gTWljcm9iaW9sPC9mdWxsLXRp
dGxlPjwvcGVyaW9kaWNhbD48cGFnZXM+Mzk1Mi05PC9wYWdlcz48dm9sdW1lPjUwPC92b2x1bWU+
PG51bWJlcj4xMjwvbnVtYmVyPjxlZGl0aW9uPjIwMTIvMTAvMDU8L2VkaXRpb24+PGtleXdvcmRz
PjxrZXl3b3JkPkFudGlmdW5nYWwgQWdlbnRzLypwaGFybWFjb2xvZ3k8L2tleXdvcmQ+PGtleXdv
cmQ+Q2hpbmE8L2tleXdvcmQ+PGtleXdvcmQ+Q3Jvc3MgSW5mZWN0aW9uLyptaWNyb2Jpb2xvZ3k8
L2tleXdvcmQ+PGtleXdvcmQ+RHJ1ZyBSZXNpc3RhbmNlLCBGdW5nYWw8L2tleXdvcmQ+PGtleXdv
cmQ+RXBpZGVtaW9sb2dpY2FsIE1vbml0b3Jpbmc8L2tleXdvcmQ+PGtleXdvcmQ+Rmx1Y29uYXpv
bGUvKnBoYXJtYWNvbG9neTwva2V5d29yZD48a2V5d29yZD5IdW1hbnM8L2tleXdvcmQ+PGtleXdv
cmQ+TXljb3Nlcy8qbWljcm9iaW9sb2d5PC9rZXl3b3JkPjxrZXl3b3JkPlByb3NwZWN0aXZlIFN0
dWRpZXM8L2tleXdvcmQ+PGtleXdvcmQ+UHlyaW1pZGluZXMvKnBoYXJtYWNvbG9neTwva2V5d29y
ZD48a2V5d29yZD5Ucmlhem9sZXMvKnBoYXJtYWNvbG9neTwva2V5d29yZD48a2V5d29yZD5Wb3Jp
Y29uYXpvbGU8L2tleXdvcmQ+PGtleXdvcmQ+WWVhc3RzL2NsYXNzaWZpY2F0aW9uLypkcnVnIGVm
ZmVjdHMvZ2VuZXRpY3MvaXNvbGF0aW9uICZhbXA7IHB1cmlmaWNhdGlvbjwva2V5d29yZD48L2tl
eXdvcmRzPjxkYXRlcz48eWVhcj4yMDEyPC95ZWFyPjxwdWItZGF0ZXM+PGRhdGU+RGVjPC9kYXRl
PjwvcHViLWRhdGVzPjwvZGF0ZXM+PGlzYm4+MTA5OC02NjBYIChFbGVjdHJvbmljKSYjeEQ7MDA5
NS0xMTM3IChMaW5raW5nKTwvaXNibj48YWNjZXNzaW9uLW51bT4yMzAzNTIwNDwvYWNjZXNzaW9u
LW51bT48dXJscz48cmVsYXRlZC11cmxzPjx1cmw+aHR0cHM6Ly93d3cubmNiaS5ubG0ubmloLmdv
di9wdWJtZWQvMjMwMzUyMDQ8L3VybD48L3JlbGF0ZWQtdXJscz48L3VybHM+PGN1c3RvbTI+UE1D
MzUwMjk2MDwvY3VzdG9tMj48ZWxlY3Ryb25pYy1yZXNvdXJjZS1udW0+MTAuMTEyOC9KQ00uMDEx
MzAtMTI8L2VsZWN0cm9uaWMtcmVzb3VyY2UtbnVtPjwvcmVjb3JkPjwvQ2l0ZT48L0VuZE5vdGU+
AGAA
</w:fldData>
        </w:fldChar>
      </w:r>
      <w:r>
        <w:instrText xml:space="preserve"> ADDIN EN.CITE.DATA </w:instrText>
      </w:r>
      <w:r>
        <w:fldChar w:fldCharType="end"/>
      </w:r>
      <w:r>
        <w:fldChar w:fldCharType="separate"/>
      </w:r>
      <w:r>
        <w:t>[18]</w:t>
      </w:r>
      <w:r>
        <w:fldChar w:fldCharType="end"/>
      </w:r>
      <w:r>
        <w:rPr>
          <w:rFonts w:hint="eastAsia"/>
        </w:rPr>
        <w:t>，白色念珠菌（n</w:t>
      </w:r>
      <w:r>
        <w:t>=282</w:t>
      </w:r>
      <w:r>
        <w:rPr>
          <w:rFonts w:hint="eastAsia"/>
        </w:rPr>
        <w:t>）、近平滑念珠菌复合体（n</w:t>
      </w:r>
      <w:r>
        <w:t>=172</w:t>
      </w:r>
      <w:r>
        <w:rPr>
          <w:rFonts w:hint="eastAsia"/>
        </w:rPr>
        <w:t>）和热带念珠菌（n</w:t>
      </w:r>
      <w:r>
        <w:t>=123</w:t>
      </w:r>
      <w:r>
        <w:rPr>
          <w:rFonts w:hint="eastAsia"/>
        </w:rPr>
        <w:t>）对氟康唑和伏立康唑敏感比例分别超过9</w:t>
      </w:r>
      <w:r>
        <w:t>9</w:t>
      </w:r>
      <w:r>
        <w:rPr>
          <w:rFonts w:hint="eastAsia"/>
        </w:rPr>
        <w:t>%、9</w:t>
      </w:r>
      <w:r>
        <w:t>8</w:t>
      </w:r>
      <w:r>
        <w:rPr>
          <w:rFonts w:hint="eastAsia"/>
        </w:rPr>
        <w:t>%和9</w:t>
      </w:r>
      <w:r>
        <w:t>4</w:t>
      </w:r>
      <w:r>
        <w:rPr>
          <w:rFonts w:hint="eastAsia"/>
        </w:rPr>
        <w:t>%。然而，随着近年来中国真菌感染日益增多，临床上抗真菌药物逐渐得到广泛应用，真菌耐药性存在上升趋势。CHIF</w:t>
      </w:r>
      <w:r>
        <w:t xml:space="preserve">-NET </w:t>
      </w:r>
      <w:r>
        <w:rPr>
          <w:rFonts w:hint="eastAsia"/>
        </w:rPr>
        <w:t xml:space="preserve">报道显示 </w:t>
      </w:r>
      <w:r>
        <w:fldChar w:fldCharType="begin">
          <w:fldData xml:space="preserve">PEVuZE5vdGU+PENpdGU+PEF1dGhvcj5YaWFvPC9BdXRob3I+PFllYXI+MjAxNTwvWWVhcj48UmVj
TnVtPjg8L1JlY051bT48RGlzcGxheVRleHQ+WzEzXTwvRGlzcGxheVRleHQ+PHJlY29yZD48cmVj
LW51bWJlcj44PC9yZWMtbnVtYmVyPjxmb3JlaWduLWtleXM+PGtleSBhcHA9IkVOIiBkYi1pZD0i
d3BzdzVwNXBhcndkOTllNXoyc3AwNWFsZjl4NXZ6OXo1MjBzIiB0aW1lc3RhbXA9IjE1MzAwMDkx
ODUiPjg8L2tleT48a2V5IGFwcD0iRU5XZWIiIGRiLWlkPSIiPjA8L2tleT48L2ZvcmVpZ24ta2V5
cz48cmVmLXR5cGUgbmFtZT0iSm91cm5hbCBBcnRpY2xlIj4xNzwvcmVmLXR5cGU+PGNvbnRyaWJ1
dG9ycz48YXV0aG9ycz48YXV0aG9yPlhpYW8sIE0uPC9hdXRob3I+PGF1dGhvcj5GYW4sIFguPC9h
dXRob3I+PGF1dGhvcj5DaGVuLCBTLiBDLjwvYXV0aG9yPjxhdXRob3I+V2FuZywgSC48L2F1dGhv
cj48YXV0aG9yPlN1biwgWi4gWS48L2F1dGhvcj48YXV0aG9yPkxpYW8sIEsuPC9hdXRob3I+PGF1
dGhvcj5DaGVuLCBTLiBMLjwvYXV0aG9yPjxhdXRob3I+WWFuLCBZLjwvYXV0aG9yPjxhdXRob3I+
S2FuZywgTS48L2F1dGhvcj48YXV0aG9yPkh1LCBaLiBELjwvYXV0aG9yPjxhdXRob3I+Q2h1LCBZ
LiBaLjwvYXV0aG9yPjxhdXRob3I+SHUsIFQuIFMuPC9hdXRob3I+PGF1dGhvcj5OaSwgWS4gWC48
L2F1dGhvcj48YXV0aG9yPlpvdSwgRy4gTC48L2F1dGhvcj48YXV0aG9yPktvbmcsIEYuPC9hdXRo
b3I+PGF1dGhvcj5YdSwgWS4gQy48L2F1dGhvcj48L2F1dGhvcnM+PC9jb250cmlidXRvcnM+PGF1
dGgtYWRkcmVzcz5EZXBhcnRtZW50IG9mIENsaW5pY2FsIExhYm9yYXRvcnksIFBla2luZyBVbmlv
biBNZWRpY2FsIENvbGxlZ2UgSG9zcGl0YWwsIEJlaWppbmcsIENoaW5hLiYjeEQ7RGVwYXJ0bWVu
dCBvZiBDbGluaWNhbCBMYWJvcmF0b3J5LCBQZWtpbmcgVW5pb24gTWVkaWNhbCBDb2xsZWdlIEhv
c3BpdGFsLCBCZWlqaW5nLCBDaGluYSBHcmFkdWF0ZSBTY2hvb2wsIFBla2luZyBVbmlvbiBNZWRp
Y2FsIENvbGxlZ2UsIENoaW5lc2UgQWNhZGVteSBvZiBNZWRpY2FsIFNjaWVuY2VzLCBCZWlqaW5n
LCBDaGluYS4mI3hEO0NlbnRyZSBmb3IgSW5mZWN0aW91cyBEaXNlYXNlcyBhbmQgTWljcm9iaW9s
b2d5IExhYm9yYXRvcnkgU2VydmljZXMsIElDUE1SIC0gUGF0aG9sb2d5IFdlc3QsIFdlc3RtZWFk
IEhvc3BpdGFsLCBVbml2ZXJzaXR5IG9mIFN5ZG5leSwgTmV3IFNvdXRoIFdhbGVzLCBBdXN0cmFs
aWEuJiN4RDtEZXBhcnRtZW50IG9mIENsaW5pY2FsIExhYm9yYXRvcnksIFRvbmdqaSBIb3NwaXRh
bCwgVG9uZ2ppIE1lZGljYWwgQ29sbGVnZSwgSHVhemhvbmcgVW5pdmVyc2l0eSBvZiBTY2llbmNl
IGFuZCBUZWNobm9sb2d5LCBXdWhhbiwgQ2hpbmEuJiN4RDtEZXBhcnRtZW50IG9mIENsaW5pY2Fs
IExhYm9yYXRvcnksIFRoZSBGaXJzdCBBZmZpbGlhdGVkIEhvc3BpdGFsIG9mIFN1biBZYXQtU2Vu
IFVuaXZlcnNpdHksIEd1YW5nemhvdSwgQ2hpbmEuJiN4RDtEZXBhcnRtZW50IG9mIENsaW5pY2Fs
IExhYm9yYXRvcnksIFRoZSBGaXJzdCBBZmZpbGlhdGVkIEhvc3BpdGFsIG9mIEhhcmJpbiBNZWRp
Y2FsIFVuaXZlcnNpdHksIEhhcmJpbiwgQ2hpbmEuJiN4RDtEZXBhcnRtZW50IG9mIENsaW5pY2Fs
IExhYm9yYXRvcnksIFBla2luZyBVbml2ZXJzaXR5IEZpcnN0IEhvc3BpdGFsLCBCZWlqaW5nLCBD
aGluYS4mI3hEO0xhYm9yYXRvcnkgb2YgQ2xpbmljYWwgTWljcm9iaW9sb2d5LCBXZXN0IENoaW5h
IEhvc3BpdGFsLCBTaWNodWFuIFVuaXZlcnNpdHksIENoZW5nZHUsIENoaW5hLiYjeEQ7RGVwYXJ0
bWVudCBvZiBDbGluaWNhbCBMYWJvcmF0b3J5LCBUaWFuamluIE1lZGljYWwgVW5pdmVyc2l0eSBH
ZW5lcmFsIEhvc3BpdGFsLCBUaWFuamluLCBDaGluYS4mI3hEO0RlcGFydG1lbnQgb2YgQ2xpbmlj
YWwgTGFib3JhdG9yeSwgVGhlIEZpcnN0IEhvc3BpdGFsIG9mIENoaW5hIE1lZGljYWwgVW5pdmVy
c2l0eSwgU2hlbnlhbmcsIENoaW5hLiYjeEQ7RGVwYXJ0bWVudCBvZiBDbGluaWNhbCBMYWJvcmF0
b3J5LCBUaGUgUGVvcGxlJmFwb3M7cyBIb3NwaXRhbCBvZiBMaWFvbmluZyBQcm92aW5jZSwgU2hl
bnlhbmcsIENoaW5hLiYjeEQ7RGVwYXJ0bWVudCBvZiBDbGluaWNhbCBNaWNyb2Jpb2xvZ3kgYW5k
IEluZmVjdGlvbiBDb250cm9sLCBSdWlqaW4gSG9zcGl0YWwgQWZmaWxpYXRlZCB0byBTY2hvb2wg
b2YgTWVkaWNpbmUsIFNoYW5naGFpIEppYW90b25nIFVuaXZlcnNpdHksIFNoYW5naGFpLCBDaGlu
YS4mI3hEO0RlcGFydG1lbnQgb2YgQ2xpbmljYWwgTGFib3JhdG9yeSwgVGhlIEZvdXJ0aCBBZmZp
bGlhdGVkIEhvc3BpdGFsIG9mIEhhcmJpbiBNZWRpY2FsIFVuaXZlcnNpdHksIEhhcmJpbiwgQ2hp
bmEuJiN4RDtEZXBhcnRtZW50IG9mIENsaW5pY2FsIExhYm9yYXRvcnksIFBla2luZyBVbmlvbiBN
ZWRpY2FsIENvbGxlZ2UgSG9zcGl0YWwsIEJlaWppbmcsIENoaW5hIHh5Y3B1bWNoQDEzOS5jb20u
PC9hdXRoLWFkZHJlc3M+PHRpdGxlcz48dGl0bGU+QW50aWZ1bmdhbCBzdXNjZXB0aWJpbGl0aWVz
IG9mIENhbmRpZGEgZ2xhYnJhdGEgc3BlY2llcyBjb21wbGV4LCBDYW5kaWRhIGtydXNlaSwgQ2Fu
ZGlkYSBwYXJhcHNpbG9zaXMgc3BlY2llcyBjb21wbGV4IGFuZCBDYW5kaWRhIHRyb3BpY2FsaXMg
Y2F1c2luZyBpbnZhc2l2ZSBjYW5kaWRpYXNpcyBpbiBDaGluYTogMyB5ZWFyIG5hdGlvbmFsIHN1
cnZlaWxsYW5jZTwvdGl0bGU+PHNlY29uZGFyeS10aXRsZT5KIEFudGltaWNyb2IgQ2hlbW90aGVy
PC9zZWNvbmRhcnktdGl0bGU+PC90aXRsZXM+PHBlcmlvZGljYWw+PGZ1bGwtdGl0bGU+SiBBbnRp
bWljcm9iIENoZW1vdGhlcjwvZnVsbC10aXRsZT48L3BlcmlvZGljYWw+PHBhZ2VzPjgwMi0xMDwv
cGFnZXM+PHZvbHVtZT43MDwvdm9sdW1lPjxudW1iZXI+MzwvbnVtYmVyPjxlZGl0aW9uPjIwMTQv
MTIvMDU8L2VkaXRpb24+PGtleXdvcmRzPjxrZXl3b3JkPkFudGlmdW5nYWwgQWdlbnRzLypwaGFy
bWFjb2xvZ3k8L2tleXdvcmQ+PGtleXdvcmQ+Q2FuZGlkYS9jbGFzc2lmaWNhdGlvbi8qZHJ1ZyBl
ZmZlY3RzL2lzb2xhdGlvbiAmYW1wOyBwdXJpZmljYXRpb248L2tleXdvcmQ+PGtleXdvcmQ+Q2Fu
ZGlkaWFzaXMsIEludmFzaXZlL2VwaWRlbWlvbG9neS8qbWljcm9iaW9sb2d5PC9rZXl3b3JkPjxr
ZXl3b3JkPkNoaW5hL2VwaWRlbWlvbG9neTwva2V5d29yZD48a2V5d29yZD5EcnVnIFJlc2lzdGFu
Y2UsIEZ1bmdhbDwva2V5d29yZD48a2V5d29yZD5FcGlkZW1pb2xvZ2ljYWwgTW9uaXRvcmluZzwv
a2V5d29yZD48a2V5d29yZD5Ib3NwaXRhbHM8L2tleXdvcmQ+PGtleXdvcmQ+SHVtYW5zPC9rZXl3
b3JkPjxrZXl3b3JkPk1pY3JvYmlhbCBTZW5zaXRpdml0eSBUZXN0czwva2V5d29yZD48a2V5d29y
ZD5QcmV2YWxlbmNlPC9rZXl3b3JkPjxrZXl3b3JkPlByb3NwZWN0aXZlIFN0dWRpZXM8L2tleXdv
cmQ+PGtleXdvcmQ+U2VxdWVuY2UgQW5hbHlzaXMsIEROQTwva2V5d29yZD48a2V5d29yZD5TcGVj
dHJvbWV0cnksIE1hc3MsIE1hdHJpeC1Bc3Npc3RlZCBMYXNlciBEZXNvcnB0aW9uLUlvbml6YXRp
b248L2tleXdvcmQ+PGtleXdvcmQ+Qy4gZ2xhYnJhdGEgc3BlY2llcyBjb21wbGV4PC9rZXl3b3Jk
PjxrZXl3b3JkPkMuIGtydXNlaTwva2V5d29yZD48a2V5d29yZD5DLiBwYXJhcHNpbG9zaXMgc3Bl
Y2llcyBjb21wbGV4PC9rZXl3b3JkPjxrZXl3b3JkPkMuIHRyb3BpY2FsaXM8L2tleXdvcmQ+PGtl
eXdvcmQ+Q2hpbmEgSG9zcGl0YWwgSW52YXNpdmUgRnVuZ2FsIFN1cnZlaWxsYW5jZSBOZXQgKENI
SUYtTkVUKTwva2V5d29yZD48a2V5d29yZD5hbnRpZnVuZ2FsIHN1c2NlcHRpYmlsaXR5PC9rZXl3
b3JkPjxrZXl3b3JkPm5vbi1hbGJpY2FucyBDYW5kaWRhIHNwZWNpZXMvc3BlY2llcyBjb21wbGV4
ZXM8L2tleXdvcmQ+PC9rZXl3b3Jkcz48ZGF0ZXM+PHllYXI+MjAxNTwveWVhcj48cHViLWRhdGVz
PjxkYXRlPk1hcjwvZGF0ZT48L3B1Yi1kYXRlcz48L2RhdGVzPjxpc2JuPjE0NjAtMjA5MSAoRWxl
Y3Ryb25pYykmI3hEOzAzMDUtNzQ1MyAoTGlua2luZyk8L2lzYm4+PGFjY2Vzc2lvbi1udW0+MjU0
NzMwMjc8L2FjY2Vzc2lvbi1udW0+PHVybHM+PHJlbGF0ZWQtdXJscz48dXJsPmh0dHBzOi8vd3d3
Lm5jYmkubmxtLm5paC5nb3YvcHVibWVkLzI1NDczMDI3PC91cmw+PC9yZWxhdGVkLXVybHM+PC91
cmxzPjxlbGVjdHJvbmljLXJlc291cmNlLW51bT4xMC4xMDkzL2phYy9ka3U0NjA8L2VsZWN0cm9u
aWMtcmVzb3VyY2UtbnVtPjwvcmVjb3JkPjwvQ2l0ZT48L0VuZE5vdGU+AGAA
</w:fldData>
        </w:fldChar>
      </w:r>
      <w:r>
        <w:instrText xml:space="preserve"> ADDIN EN.CITE </w:instrText>
      </w:r>
      <w:r>
        <w:fldChar w:fldCharType="begin">
          <w:fldData xml:space="preserve">PEVuZE5vdGU+PENpdGU+PEF1dGhvcj5YaWFvPC9BdXRob3I+PFllYXI+MjAxNTwvWWVhcj48UmVj
TnVtPjg8L1JlY051bT48RGlzcGxheVRleHQ+WzEzXTwvRGlzcGxheVRleHQ+PHJlY29yZD48cmVj
LW51bWJlcj44PC9yZWMtbnVtYmVyPjxmb3JlaWduLWtleXM+PGtleSBhcHA9IkVOIiBkYi1pZD0i
d3BzdzVwNXBhcndkOTllNXoyc3AwNWFsZjl4NXZ6OXo1MjBzIiB0aW1lc3RhbXA9IjE1MzAwMDkx
ODUiPjg8L2tleT48a2V5IGFwcD0iRU5XZWIiIGRiLWlkPSIiPjA8L2tleT48L2ZvcmVpZ24ta2V5
cz48cmVmLXR5cGUgbmFtZT0iSm91cm5hbCBBcnRpY2xlIj4xNzwvcmVmLXR5cGU+PGNvbnRyaWJ1
dG9ycz48YXV0aG9ycz48YXV0aG9yPlhpYW8sIE0uPC9hdXRob3I+PGF1dGhvcj5GYW4sIFguPC9h
dXRob3I+PGF1dGhvcj5DaGVuLCBTLiBDLjwvYXV0aG9yPjxhdXRob3I+V2FuZywgSC48L2F1dGhv
cj48YXV0aG9yPlN1biwgWi4gWS48L2F1dGhvcj48YXV0aG9yPkxpYW8sIEsuPC9hdXRob3I+PGF1
dGhvcj5DaGVuLCBTLiBMLjwvYXV0aG9yPjxhdXRob3I+WWFuLCBZLjwvYXV0aG9yPjxhdXRob3I+
S2FuZywgTS48L2F1dGhvcj48YXV0aG9yPkh1LCBaLiBELjwvYXV0aG9yPjxhdXRob3I+Q2h1LCBZ
LiBaLjwvYXV0aG9yPjxhdXRob3I+SHUsIFQuIFMuPC9hdXRob3I+PGF1dGhvcj5OaSwgWS4gWC48
L2F1dGhvcj48YXV0aG9yPlpvdSwgRy4gTC48L2F1dGhvcj48YXV0aG9yPktvbmcsIEYuPC9hdXRo
b3I+PGF1dGhvcj5YdSwgWS4gQy48L2F1dGhvcj48L2F1dGhvcnM+PC9jb250cmlidXRvcnM+PGF1
dGgtYWRkcmVzcz5EZXBhcnRtZW50IG9mIENsaW5pY2FsIExhYm9yYXRvcnksIFBla2luZyBVbmlv
biBNZWRpY2FsIENvbGxlZ2UgSG9zcGl0YWwsIEJlaWppbmcsIENoaW5hLiYjeEQ7RGVwYXJ0bWVu
dCBvZiBDbGluaWNhbCBMYWJvcmF0b3J5LCBQZWtpbmcgVW5pb24gTWVkaWNhbCBDb2xsZWdlIEhv
c3BpdGFsLCBCZWlqaW5nLCBDaGluYSBHcmFkdWF0ZSBTY2hvb2wsIFBla2luZyBVbmlvbiBNZWRp
Y2FsIENvbGxlZ2UsIENoaW5lc2UgQWNhZGVteSBvZiBNZWRpY2FsIFNjaWVuY2VzLCBCZWlqaW5n
LCBDaGluYS4mI3hEO0NlbnRyZSBmb3IgSW5mZWN0aW91cyBEaXNlYXNlcyBhbmQgTWljcm9iaW9s
b2d5IExhYm9yYXRvcnkgU2VydmljZXMsIElDUE1SIC0gUGF0aG9sb2d5IFdlc3QsIFdlc3RtZWFk
IEhvc3BpdGFsLCBVbml2ZXJzaXR5IG9mIFN5ZG5leSwgTmV3IFNvdXRoIFdhbGVzLCBBdXN0cmFs
aWEuJiN4RDtEZXBhcnRtZW50IG9mIENsaW5pY2FsIExhYm9yYXRvcnksIFRvbmdqaSBIb3NwaXRh
bCwgVG9uZ2ppIE1lZGljYWwgQ29sbGVnZSwgSHVhemhvbmcgVW5pdmVyc2l0eSBvZiBTY2llbmNl
IGFuZCBUZWNobm9sb2d5LCBXdWhhbiwgQ2hpbmEuJiN4RDtEZXBhcnRtZW50IG9mIENsaW5pY2Fs
IExhYm9yYXRvcnksIFRoZSBGaXJzdCBBZmZpbGlhdGVkIEhvc3BpdGFsIG9mIFN1biBZYXQtU2Vu
IFVuaXZlcnNpdHksIEd1YW5nemhvdSwgQ2hpbmEuJiN4RDtEZXBhcnRtZW50IG9mIENsaW5pY2Fs
IExhYm9yYXRvcnksIFRoZSBGaXJzdCBBZmZpbGlhdGVkIEhvc3BpdGFsIG9mIEhhcmJpbiBNZWRp
Y2FsIFVuaXZlcnNpdHksIEhhcmJpbiwgQ2hpbmEuJiN4RDtEZXBhcnRtZW50IG9mIENsaW5pY2Fs
IExhYm9yYXRvcnksIFBla2luZyBVbml2ZXJzaXR5IEZpcnN0IEhvc3BpdGFsLCBCZWlqaW5nLCBD
aGluYS4mI3hEO0xhYm9yYXRvcnkgb2YgQ2xpbmljYWwgTWljcm9iaW9sb2d5LCBXZXN0IENoaW5h
IEhvc3BpdGFsLCBTaWNodWFuIFVuaXZlcnNpdHksIENoZW5nZHUsIENoaW5hLiYjeEQ7RGVwYXJ0
bWVudCBvZiBDbGluaWNhbCBMYWJvcmF0b3J5LCBUaWFuamluIE1lZGljYWwgVW5pdmVyc2l0eSBH
ZW5lcmFsIEhvc3BpdGFsLCBUaWFuamluLCBDaGluYS4mI3hEO0RlcGFydG1lbnQgb2YgQ2xpbmlj
YWwgTGFib3JhdG9yeSwgVGhlIEZpcnN0IEhvc3BpdGFsIG9mIENoaW5hIE1lZGljYWwgVW5pdmVy
c2l0eSwgU2hlbnlhbmcsIENoaW5hLiYjeEQ7RGVwYXJ0bWVudCBvZiBDbGluaWNhbCBMYWJvcmF0
b3J5LCBUaGUgUGVvcGxlJmFwb3M7cyBIb3NwaXRhbCBvZiBMaWFvbmluZyBQcm92aW5jZSwgU2hl
bnlhbmcsIENoaW5hLiYjeEQ7RGVwYXJ0bWVudCBvZiBDbGluaWNhbCBNaWNyb2Jpb2xvZ3kgYW5k
IEluZmVjdGlvbiBDb250cm9sLCBSdWlqaW4gSG9zcGl0YWwgQWZmaWxpYXRlZCB0byBTY2hvb2wg
b2YgTWVkaWNpbmUsIFNoYW5naGFpIEppYW90b25nIFVuaXZlcnNpdHksIFNoYW5naGFpLCBDaGlu
YS4mI3hEO0RlcGFydG1lbnQgb2YgQ2xpbmljYWwgTGFib3JhdG9yeSwgVGhlIEZvdXJ0aCBBZmZp
bGlhdGVkIEhvc3BpdGFsIG9mIEhhcmJpbiBNZWRpY2FsIFVuaXZlcnNpdHksIEhhcmJpbiwgQ2hp
bmEuJiN4RDtEZXBhcnRtZW50IG9mIENsaW5pY2FsIExhYm9yYXRvcnksIFBla2luZyBVbmlvbiBN
ZWRpY2FsIENvbGxlZ2UgSG9zcGl0YWwsIEJlaWppbmcsIENoaW5hIHh5Y3B1bWNoQDEzOS5jb20u
PC9hdXRoLWFkZHJlc3M+PHRpdGxlcz48dGl0bGU+QW50aWZ1bmdhbCBzdXNjZXB0aWJpbGl0aWVz
IG9mIENhbmRpZGEgZ2xhYnJhdGEgc3BlY2llcyBjb21wbGV4LCBDYW5kaWRhIGtydXNlaSwgQ2Fu
ZGlkYSBwYXJhcHNpbG9zaXMgc3BlY2llcyBjb21wbGV4IGFuZCBDYW5kaWRhIHRyb3BpY2FsaXMg
Y2F1c2luZyBpbnZhc2l2ZSBjYW5kaWRpYXNpcyBpbiBDaGluYTogMyB5ZWFyIG5hdGlvbmFsIHN1
cnZlaWxsYW5jZTwvdGl0bGU+PHNlY29uZGFyeS10aXRsZT5KIEFudGltaWNyb2IgQ2hlbW90aGVy
PC9zZWNvbmRhcnktdGl0bGU+PC90aXRsZXM+PHBlcmlvZGljYWw+PGZ1bGwtdGl0bGU+SiBBbnRp
bWljcm9iIENoZW1vdGhlcjwvZnVsbC10aXRsZT48L3BlcmlvZGljYWw+PHBhZ2VzPjgwMi0xMDwv
cGFnZXM+PHZvbHVtZT43MDwvdm9sdW1lPjxudW1iZXI+MzwvbnVtYmVyPjxlZGl0aW9uPjIwMTQv
MTIvMDU8L2VkaXRpb24+PGtleXdvcmRzPjxrZXl3b3JkPkFudGlmdW5nYWwgQWdlbnRzLypwaGFy
bWFjb2xvZ3k8L2tleXdvcmQ+PGtleXdvcmQ+Q2FuZGlkYS9jbGFzc2lmaWNhdGlvbi8qZHJ1ZyBl
ZmZlY3RzL2lzb2xhdGlvbiAmYW1wOyBwdXJpZmljYXRpb248L2tleXdvcmQ+PGtleXdvcmQ+Q2Fu
ZGlkaWFzaXMsIEludmFzaXZlL2VwaWRlbWlvbG9neS8qbWljcm9iaW9sb2d5PC9rZXl3b3JkPjxr
ZXl3b3JkPkNoaW5hL2VwaWRlbWlvbG9neTwva2V5d29yZD48a2V5d29yZD5EcnVnIFJlc2lzdGFu
Y2UsIEZ1bmdhbDwva2V5d29yZD48a2V5d29yZD5FcGlkZW1pb2xvZ2ljYWwgTW9uaXRvcmluZzwv
a2V5d29yZD48a2V5d29yZD5Ib3NwaXRhbHM8L2tleXdvcmQ+PGtleXdvcmQ+SHVtYW5zPC9rZXl3
b3JkPjxrZXl3b3JkPk1pY3JvYmlhbCBTZW5zaXRpdml0eSBUZXN0czwva2V5d29yZD48a2V5d29y
ZD5QcmV2YWxlbmNlPC9rZXl3b3JkPjxrZXl3b3JkPlByb3NwZWN0aXZlIFN0dWRpZXM8L2tleXdv
cmQ+PGtleXdvcmQ+U2VxdWVuY2UgQW5hbHlzaXMsIEROQTwva2V5d29yZD48a2V5d29yZD5TcGVj
dHJvbWV0cnksIE1hc3MsIE1hdHJpeC1Bc3Npc3RlZCBMYXNlciBEZXNvcnB0aW9uLUlvbml6YXRp
b248L2tleXdvcmQ+PGtleXdvcmQ+Qy4gZ2xhYnJhdGEgc3BlY2llcyBjb21wbGV4PC9rZXl3b3Jk
PjxrZXl3b3JkPkMuIGtydXNlaTwva2V5d29yZD48a2V5d29yZD5DLiBwYXJhcHNpbG9zaXMgc3Bl
Y2llcyBjb21wbGV4PC9rZXl3b3JkPjxrZXl3b3JkPkMuIHRyb3BpY2FsaXM8L2tleXdvcmQ+PGtl
eXdvcmQ+Q2hpbmEgSG9zcGl0YWwgSW52YXNpdmUgRnVuZ2FsIFN1cnZlaWxsYW5jZSBOZXQgKENI
SUYtTkVUKTwva2V5d29yZD48a2V5d29yZD5hbnRpZnVuZ2FsIHN1c2NlcHRpYmlsaXR5PC9rZXl3
b3JkPjxrZXl3b3JkPm5vbi1hbGJpY2FucyBDYW5kaWRhIHNwZWNpZXMvc3BlY2llcyBjb21wbGV4
ZXM8L2tleXdvcmQ+PC9rZXl3b3Jkcz48ZGF0ZXM+PHllYXI+MjAxNTwveWVhcj48cHViLWRhdGVz
PjxkYXRlPk1hcjwvZGF0ZT48L3B1Yi1kYXRlcz48L2RhdGVzPjxpc2JuPjE0NjAtMjA5MSAoRWxl
Y3Ryb25pYykmI3hEOzAzMDUtNzQ1MyAoTGlua2luZyk8L2lzYm4+PGFjY2Vzc2lvbi1udW0+MjU0
NzMwMjc8L2FjY2Vzc2lvbi1udW0+PHVybHM+PHJlbGF0ZWQtdXJscz48dXJsPmh0dHBzOi8vd3d3
Lm5jYmkubmxtLm5paC5nb3YvcHVibWVkLzI1NDczMDI3PC91cmw+PC9yZWxhdGVkLXVybHM+PC91
cmxzPjxlbGVjdHJvbmljLXJlc291cmNlLW51bT4xMC4xMDkzL2phYy9ka3U0NjA8L2VsZWN0cm9u
aWMtcmVzb3VyY2UtbnVtPjwvcmVjb3JkPjwvQ2l0ZT48L0VuZE5vdGU+AGAA
</w:fldData>
        </w:fldChar>
      </w:r>
      <w:r>
        <w:instrText xml:space="preserve"> ADDIN EN.CITE.DATA </w:instrText>
      </w:r>
      <w:r>
        <w:fldChar w:fldCharType="end"/>
      </w:r>
      <w:r>
        <w:fldChar w:fldCharType="separate"/>
      </w:r>
      <w:r>
        <w:t>[13]</w:t>
      </w:r>
      <w:r>
        <w:fldChar w:fldCharType="end"/>
      </w:r>
      <w:r>
        <w:rPr>
          <w:rFonts w:hint="eastAsia"/>
        </w:rPr>
        <w:t>，2</w:t>
      </w:r>
      <w:r>
        <w:t>009</w:t>
      </w:r>
      <w:r>
        <w:rPr>
          <w:rFonts w:hint="eastAsia"/>
        </w:rPr>
        <w:t>至2</w:t>
      </w:r>
      <w:r>
        <w:t>012</w:t>
      </w:r>
      <w:r>
        <w:rPr>
          <w:rFonts w:hint="eastAsia"/>
        </w:rPr>
        <w:t>三年间，虽然近平滑念珠菌复合体和光滑念珠菌对唑类药物耐药率相对稳定，但是热带念珠菌对唑类药物的耐药率升高约4%。此外，光滑念珠菌对棘白菌素类药物的耐药现象也存在增长趋势，尽管目前我国耐药率小于1%</w:t>
      </w:r>
      <w:r>
        <w:t xml:space="preserve"> </w:t>
      </w:r>
      <w:r>
        <w:fldChar w:fldCharType="begin"/>
      </w:r>
      <w:r>
        <w:instrText xml:space="preserve"> ADDIN EN.CITE &lt;EndNote&gt;&lt;Cite&gt;&lt;Author&gt;Hou&lt;/Author&gt;&lt;Year&gt;2017&lt;/Year&gt;&lt;RecNum&gt;54&lt;/RecNum&gt;&lt;DisplayText&gt;[19]&lt;/DisplayText&gt;&lt;record&gt;&lt;rec-number&gt;54&lt;/rec-number&gt;&lt;foreign-keys&gt;&lt;key app="EN" db-id="wpsw5p5parwd99e5z2sp05alf9x5vz9z520s" timestamp="1534152205"&gt;54&lt;/key&gt;&lt;/foreign-keys&gt;&lt;ref-type name="Journal Article"&gt;17&lt;/ref-type&gt;&lt;contributors&gt;&lt;authors&gt;&lt;author&gt;Hou, Xin&lt;/author&gt;&lt;author&gt;Xiao, Meng&lt;/author&gt;&lt;author&gt;Chen, Sharon C-A&lt;/author&gt;&lt;author&gt;Kong, Fanrong&lt;/author&gt;&lt;author&gt;Wang, He&lt;/author&gt;&lt;author&gt;Chu, Yun-Zhuo&lt;/author&gt;&lt;author&gt;Kang, Mei&lt;/author&gt;&lt;author&gt;Sun, Zi-Yong&lt;/author&gt;&lt;author&gt;Hu, Zhi-Dong&lt;/author&gt;&lt;author&gt;Li, Ruo-Yu&lt;/author&gt;&lt;/authors&gt;&lt;/contributors&gt;&lt;titles&gt;&lt;title&gt;Molecular epidemiology and antifungal susceptibility of Candida glabrata in China (August 2009 to July 2014): a multi-center study&lt;/title&gt;&lt;secondary-title&gt;Frontiers in microbiology&lt;/secondary-title&gt;&lt;/titles&gt;&lt;periodical&gt;&lt;full-title&gt;Frontiers in microbiology&lt;/full-title&gt;&lt;/periodical&gt;&lt;pages&gt;880&lt;/pages&gt;&lt;volume&gt;8&lt;/volume&gt;&lt;dates&gt;&lt;year&gt;2017&lt;/year&gt;&lt;/dates&gt;&lt;isbn&gt;1664-302X&lt;/isbn&gt;&lt;urls&gt;&lt;/urls&gt;&lt;/record&gt;&lt;/Cite&gt;&lt;/EndNote&gt;</w:instrText>
      </w:r>
      <w:r>
        <w:fldChar w:fldCharType="separate"/>
      </w:r>
      <w:r>
        <w:t>[19]</w:t>
      </w:r>
      <w:r>
        <w:fldChar w:fldCharType="end"/>
      </w:r>
      <w:r>
        <w:rPr>
          <w:rFonts w:hint="eastAsia"/>
        </w:rPr>
        <w:t>，但是全球耐药率已达8</w:t>
      </w:r>
      <w:r>
        <w:rPr>
          <w:rFonts w:cs="Arial"/>
        </w:rPr>
        <w:t>−</w:t>
      </w:r>
      <w:r>
        <w:t>9</w:t>
      </w:r>
      <w:r>
        <w:rPr>
          <w:rFonts w:hint="eastAsia"/>
        </w:rPr>
        <w:t xml:space="preserve">% </w:t>
      </w:r>
      <w:r>
        <w:fldChar w:fldCharType="begin">
          <w:fldData xml:space="preserve">PEVuZE5vdGU+PENpdGU+PEF1dGhvcj5QZmFsbGVyPC9BdXRob3I+PFllYXI+MjAxMjwvWWVhcj48
UmVjTnVtPjU1PC9SZWNOdW0+PERpc3BsYXlUZXh0PlsyMF08L0Rpc3BsYXlUZXh0PjxyZWNvcmQ+
PHJlYy1udW1iZXI+NTU8L3JlYy1udW1iZXI+PGZvcmVpZ24ta2V5cz48a2V5IGFwcD0iRU4iIGRi
LWlkPSJ3cHN3NXA1cGFyd2Q5OWU1ejJzcDA1YWxmOXg1dno5ejUyMHMiIHRpbWVzdGFtcD0iMTUz
NDE1MzczMSI+NTU8L2tleT48L2ZvcmVpZ24ta2V5cz48cmVmLXR5cGUgbmFtZT0iSm91cm5hbCBB
cnRpY2xlIj4xNzwvcmVmLXR5cGU+PGNvbnRyaWJ1dG9ycz48YXV0aG9ycz48YXV0aG9yPlBmYWxs
ZXIsIE0uIEEuPC9hdXRob3I+PGF1dGhvcj5DYXN0YW5oZWlyYSwgTS48L2F1dGhvcj48YXV0aG9y
PkxvY2toYXJ0LCBTLiBSLjwvYXV0aG9yPjxhdXRob3I+QWhscXVpc3QsIEEuIE0uPC9hdXRob3I+
PGF1dGhvcj5NZXNzZXIsIFMuIEEuPC9hdXRob3I+PGF1dGhvcj5Kb25lcywgUi4gTi48L2F1dGhv
cj48L2F1dGhvcnM+PC9jb250cmlidXRvcnM+PGF1dGgtYWRkcmVzcz5KTUkgTGFib3JhdG9yaWVz
LCBOb3J0aCBMaWJlcnR5LCBJb3dhLCBVU0EuIG1pa2UtcGZhbGxlckBqbWlsYWJzLmNvbTwvYXV0
aC1hZGRyZXNzPjx0aXRsZXM+PHRpdGxlPkZyZXF1ZW5jeSBvZiBkZWNyZWFzZWQgc3VzY2VwdGli
aWxpdHkgYW5kIHJlc2lzdGFuY2UgdG8gZWNoaW5vY2FuZGlucyBhbW9uZyBmbHVjb25hem9sZS1y
ZXNpc3RhbnQgYmxvb2RzdHJlYW0gaXNvbGF0ZXMgb2YgQ2FuZGlkYSBnbGFicmF0YTwvdGl0bGU+
PHNlY29uZGFyeS10aXRsZT5KIENsaW4gTWljcm9iaW9sPC9zZWNvbmRhcnktdGl0bGU+PGFsdC10
aXRsZT5Kb3VybmFsIG9mIGNsaW5pY2FsIG1pY3JvYmlvbG9neTwvYWx0LXRpdGxlPjwvdGl0bGVz
PjxwZXJpb2RpY2FsPjxmdWxsLXRpdGxlPkogQ2xpbiBNaWNyb2Jpb2w8L2Z1bGwtdGl0bGU+PC9w
ZXJpb2RpY2FsPjxwYWdlcz4xMTk5LTIwMzwvcGFnZXM+PHZvbHVtZT41MDwvdm9sdW1lPjxudW1i
ZXI+NDwvbnVtYmVyPjxlZGl0aW9uPjIwMTIvMDEvMjc8L2VkaXRpb24+PGtleXdvcmRzPjxrZXl3
b3JkPkFkdWx0PC9rZXl3b3JkPjxrZXl3b3JkPkFnZWQ8L2tleXdvcmQ+PGtleXdvcmQ+QW50aWZ1
bmdhbCBBZ2VudHMvKnBoYXJtYWNvbG9neTwva2V5d29yZD48a2V5d29yZD5DYW5kaWRhIGdsYWJy
YXRhLypkcnVnIGVmZmVjdHMvZ2VuZXRpY3MvaXNvbGF0aW9uICZhbXA7IHB1cmlmaWNhdGlvbjwv
a2V5d29yZD48a2V5d29yZD5DYW5kaWRlbWlhLyptaWNyb2Jpb2xvZ3k8L2tleXdvcmQ+PGtleXdv
cmQ+RHJ1ZyBSZXNpc3RhbmNlLCBNdWx0aXBsZSwgRnVuZ2FsLypnZW5ldGljczwva2V5d29yZD48
a2V5d29yZD5FY2hpbm9jYW5kaW5zLypwaGFybWFjb2xvZ3k8L2tleXdvcmQ+PGtleXdvcmQ+RmVt
YWxlPC9rZXl3b3JkPjxrZXl3b3JkPkZsdWNvbmF6b2xlLypwaGFybWFjb2xvZ3k8L2tleXdvcmQ+
PGtleXdvcmQ+RnVuZ2FsIFByb3RlaW5zL2dlbmV0aWNzPC9rZXl3b3JkPjxrZXl3b3JkPkdsdWNv
c3lsdHJhbnNmZXJhc2VzL2dlbmV0aWNzPC9rZXl3b3JkPjxrZXl3b3JkPkh1bWFuczwva2V5d29y
ZD48a2V5d29yZD5NYWxlPC9rZXl3b3JkPjxrZXl3b3JkPk1pY3JvYmlhbCBTZW5zaXRpdml0eSBU
ZXN0czwva2V5d29yZD48a2V5d29yZD5NaWRkbGUgQWdlZDwva2V5d29yZD48a2V5d29yZD5NdXRh
dGlvbiwgTWlzc2Vuc2U8L2tleXdvcmQ+PGtleXdvcmQ+U2VudGluZWwgU3VydmVpbGxhbmNlPC9r
ZXl3b3JkPjxrZXl3b3JkPllvdW5nIEFkdWx0PC9rZXl3b3JkPjwva2V5d29yZHM+PGRhdGVzPjx5
ZWFyPjIwMTI8L3llYXI+PHB1Yi1kYXRlcz48ZGF0ZT5BcHI8L2RhdGU+PC9wdWItZGF0ZXM+PC9k
YXRlcz48aXNibj4wMDk1LTExMzc8L2lzYm4+PGFjY2Vzc2lvbi1udW0+MjIyNzg4NDI8L2FjY2Vz
c2lvbi1udW0+PHVybHM+PC91cmxzPjxjdXN0b20yPlBNQzMzMTg1MTY8L2N1c3RvbTI+PGVsZWN0
cm9uaWMtcmVzb3VyY2UtbnVtPjEwLjExMjgvamNtLjA2MTEyLTExPC9lbGVjdHJvbmljLXJlc291
cmNlLW51bT48cmVtb3RlLWRhdGFiYXNlLXByb3ZpZGVyPk5MTTwvcmVtb3RlLWRhdGFiYXNlLXBy
b3ZpZGVyPjxsYW5ndWFnZT5lbmc8L2xhbmd1YWdlPjwvcmVjb3JkPjwvQ2l0ZT48L0VuZE5vdGU+
</w:fldData>
        </w:fldChar>
      </w:r>
      <w:r>
        <w:instrText xml:space="preserve"> ADDIN EN.CITE </w:instrText>
      </w:r>
      <w:r>
        <w:fldChar w:fldCharType="begin">
          <w:fldData xml:space="preserve">PEVuZE5vdGU+PENpdGU+PEF1dGhvcj5QZmFsbGVyPC9BdXRob3I+PFllYXI+MjAxMjwvWWVhcj48
UmVjTnVtPjU1PC9SZWNOdW0+PERpc3BsYXlUZXh0PlsyMF08L0Rpc3BsYXlUZXh0PjxyZWNvcmQ+
PHJlYy1udW1iZXI+NTU8L3JlYy1udW1iZXI+PGZvcmVpZ24ta2V5cz48a2V5IGFwcD0iRU4iIGRi
LWlkPSJ3cHN3NXA1cGFyd2Q5OWU1ejJzcDA1YWxmOXg1dno5ejUyMHMiIHRpbWVzdGFtcD0iMTUz
NDE1MzczMSI+NTU8L2tleT48L2ZvcmVpZ24ta2V5cz48cmVmLXR5cGUgbmFtZT0iSm91cm5hbCBB
cnRpY2xlIj4xNzwvcmVmLXR5cGU+PGNvbnRyaWJ1dG9ycz48YXV0aG9ycz48YXV0aG9yPlBmYWxs
ZXIsIE0uIEEuPC9hdXRob3I+PGF1dGhvcj5DYXN0YW5oZWlyYSwgTS48L2F1dGhvcj48YXV0aG9y
PkxvY2toYXJ0LCBTLiBSLjwvYXV0aG9yPjxhdXRob3I+QWhscXVpc3QsIEEuIE0uPC9hdXRob3I+
PGF1dGhvcj5NZXNzZXIsIFMuIEEuPC9hdXRob3I+PGF1dGhvcj5Kb25lcywgUi4gTi48L2F1dGhv
cj48L2F1dGhvcnM+PC9jb250cmlidXRvcnM+PGF1dGgtYWRkcmVzcz5KTUkgTGFib3JhdG9yaWVz
LCBOb3J0aCBMaWJlcnR5LCBJb3dhLCBVU0EuIG1pa2UtcGZhbGxlckBqbWlsYWJzLmNvbTwvYXV0
aC1hZGRyZXNzPjx0aXRsZXM+PHRpdGxlPkZyZXF1ZW5jeSBvZiBkZWNyZWFzZWQgc3VzY2VwdGli
aWxpdHkgYW5kIHJlc2lzdGFuY2UgdG8gZWNoaW5vY2FuZGlucyBhbW9uZyBmbHVjb25hem9sZS1y
ZXNpc3RhbnQgYmxvb2RzdHJlYW0gaXNvbGF0ZXMgb2YgQ2FuZGlkYSBnbGFicmF0YTwvdGl0bGU+
PHNlY29uZGFyeS10aXRsZT5KIENsaW4gTWljcm9iaW9sPC9zZWNvbmRhcnktdGl0bGU+PGFsdC10
aXRsZT5Kb3VybmFsIG9mIGNsaW5pY2FsIG1pY3JvYmlvbG9neTwvYWx0LXRpdGxlPjwvdGl0bGVz
PjxwZXJpb2RpY2FsPjxmdWxsLXRpdGxlPkogQ2xpbiBNaWNyb2Jpb2w8L2Z1bGwtdGl0bGU+PC9w
ZXJpb2RpY2FsPjxwYWdlcz4xMTk5LTIwMzwvcGFnZXM+PHZvbHVtZT41MDwvdm9sdW1lPjxudW1i
ZXI+NDwvbnVtYmVyPjxlZGl0aW9uPjIwMTIvMDEvMjc8L2VkaXRpb24+PGtleXdvcmRzPjxrZXl3
b3JkPkFkdWx0PC9rZXl3b3JkPjxrZXl3b3JkPkFnZWQ8L2tleXdvcmQ+PGtleXdvcmQ+QW50aWZ1
bmdhbCBBZ2VudHMvKnBoYXJtYWNvbG9neTwva2V5d29yZD48a2V5d29yZD5DYW5kaWRhIGdsYWJy
YXRhLypkcnVnIGVmZmVjdHMvZ2VuZXRpY3MvaXNvbGF0aW9uICZhbXA7IHB1cmlmaWNhdGlvbjwv
a2V5d29yZD48a2V5d29yZD5DYW5kaWRlbWlhLyptaWNyb2Jpb2xvZ3k8L2tleXdvcmQ+PGtleXdv
cmQ+RHJ1ZyBSZXNpc3RhbmNlLCBNdWx0aXBsZSwgRnVuZ2FsLypnZW5ldGljczwva2V5d29yZD48
a2V5d29yZD5FY2hpbm9jYW5kaW5zLypwaGFybWFjb2xvZ3k8L2tleXdvcmQ+PGtleXdvcmQ+RmVt
YWxlPC9rZXl3b3JkPjxrZXl3b3JkPkZsdWNvbmF6b2xlLypwaGFybWFjb2xvZ3k8L2tleXdvcmQ+
PGtleXdvcmQ+RnVuZ2FsIFByb3RlaW5zL2dlbmV0aWNzPC9rZXl3b3JkPjxrZXl3b3JkPkdsdWNv
c3lsdHJhbnNmZXJhc2VzL2dlbmV0aWNzPC9rZXl3b3JkPjxrZXl3b3JkPkh1bWFuczwva2V5d29y
ZD48a2V5d29yZD5NYWxlPC9rZXl3b3JkPjxrZXl3b3JkPk1pY3JvYmlhbCBTZW5zaXRpdml0eSBU
ZXN0czwva2V5d29yZD48a2V5d29yZD5NaWRkbGUgQWdlZDwva2V5d29yZD48a2V5d29yZD5NdXRh
dGlvbiwgTWlzc2Vuc2U8L2tleXdvcmQ+PGtleXdvcmQ+U2VudGluZWwgU3VydmVpbGxhbmNlPC9r
ZXl3b3JkPjxrZXl3b3JkPllvdW5nIEFkdWx0PC9rZXl3b3JkPjwva2V5d29yZHM+PGRhdGVzPjx5
ZWFyPjIwMTI8L3llYXI+PHB1Yi1kYXRlcz48ZGF0ZT5BcHI8L2RhdGU+PC9wdWItZGF0ZXM+PC9k
YXRlcz48aXNibj4wMDk1LTExMzc8L2lzYm4+PGFjY2Vzc2lvbi1udW0+MjIyNzg4NDI8L2FjY2Vz
c2lvbi1udW0+PHVybHM+PC91cmxzPjxjdXN0b20yPlBNQzMzMTg1MTY8L2N1c3RvbTI+PGVsZWN0
cm9uaWMtcmVzb3VyY2UtbnVtPjEwLjExMjgvamNtLjA2MTEyLTExPC9lbGVjdHJvbmljLXJlc291
cmNlLW51bT48cmVtb3RlLWRhdGFiYXNlLXByb3ZpZGVyPk5MTTwvcmVtb3RlLWRhdGFiYXNlLXBy
b3ZpZGVyPjxsYW5ndWFnZT5lbmc8L2xhbmd1YWdlPjwvcmVjb3JkPjwvQ2l0ZT48L0VuZE5vdGU+
</w:fldData>
        </w:fldChar>
      </w:r>
      <w:r>
        <w:instrText xml:space="preserve"> ADDIN EN.CITE.DATA </w:instrText>
      </w:r>
      <w:r>
        <w:fldChar w:fldCharType="end"/>
      </w:r>
      <w:r>
        <w:fldChar w:fldCharType="separate"/>
      </w:r>
      <w:r>
        <w:t>[20]</w:t>
      </w:r>
      <w:r>
        <w:fldChar w:fldCharType="end"/>
      </w:r>
      <w:r>
        <w:rPr>
          <w:rFonts w:hint="eastAsia"/>
        </w:rPr>
        <w:t>。因此，真菌药敏试验（尤其是酵母菌药敏试验）存在其开展的必要性，不仅可以对临床治疗起到了重要的指导作用，而且也有助于监测中国真菌耐药趋势，促进合理有效地使用抗真菌药物，以减缓菌株耐药率的增加。</w:t>
      </w:r>
    </w:p>
    <w:p>
      <w:r>
        <w:rPr>
          <w:rFonts w:hint="eastAsia"/>
        </w:rPr>
        <w:t>此次基线调研显示，三甲医院中约9</w:t>
      </w:r>
      <w:r>
        <w:t xml:space="preserve">2% </w:t>
      </w:r>
      <w:r>
        <w:rPr>
          <w:rFonts w:hint="eastAsia"/>
        </w:rPr>
        <w:t xml:space="preserve">的医院具备酵母菌药敏试验能力，覆盖率高于亚太地区印度、菲律宾等其他国家 </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 xml:space="preserve">。而在丝状真菌方面，由于各菌种的药敏表型相对规律，耐药突变情况整体较低，且大多数丝状真菌药敏折点尚未明确，国际上开展药敏试验的程度普遍较低 </w:t>
      </w:r>
      <w:r>
        <w:fldChar w:fldCharType="begin">
          <w:fldData xml:space="preserve">PEVuZE5vdGU+PENpdGU+PEF1dGhvcj5DaGluZGFtcG9ybjwvQXV0aG9yPjxZZWFyPjIwMTg8L1ll
YXI+PFJlY051bT4xPC9SZWNOdW0+PERpc3BsYXlUZXh0PlszLCAyMV08L0Rpc3BsYXlUZXh0Pjxy
ZWNvcmQ+PHJlYy1udW1iZXI+MTwvcmVjLW51bWJlcj48Zm9yZWlnbi1rZXlzPjxrZXkgYXBwPSJF
TiIgZGItaWQ9Indwc3c1cDVwYXJ3ZDk5ZTV6MnNwMDVhbGY5eDV2ejl6NTIwcyIgdGltZXN0YW1w
PSIxNTI5OTkzNDg1Ij4xPC9rZXk+PGtleSBhcHA9IkVOV2ViIiBkYi1pZD0iIj4wPC9rZXk+PC9m
b3JlaWduLWtleXM+PHJlZi10eXBlIG5hbWU9IkpvdXJuYWwgQXJ0aWNsZSI+MTc8L3JlZi10eXBl
Pjxjb250cmlidXRvcnM+PGF1dGhvcnM+PGF1dGhvcj5DaGluZGFtcG9ybiwgQS48L2F1dGhvcj48
YXV0aG9yPkNoYWtyYWJhcnRpLCBBLjwvYXV0aG9yPjxhdXRob3I+TGksIFIuPC9hdXRob3I+PGF1
dGhvcj5TdW4sIFAuIEwuPC9hdXRob3I+PGF1dGhvcj5UYW4sIEIuIEguPC9hdXRob3I+PGF1dGhv
cj5DaHVhLCBNLjwvYXV0aG9yPjxhdXRob3I+V2FoeXVuaW5nc2loLCBSLjwvYXV0aG9yPjxhdXRo
b3I+UGF0ZWwsIEEuPC9hdXRob3I+PGF1dGhvcj5MaXUsIFouPC9hdXRob3I+PGF1dGhvcj5DaGVu
LCBZLiBDLjwvYXV0aG9yPjxhdXRob3I+Q2hheWFrdWxrZWVyZWUsIE0uPC9hdXRob3I+PC9hdXRo
b3JzPjwvY29udHJpYnV0b3JzPjxhdXRoLWFkZHJlc3M+RGVwYXJ0bWVudCBvZiBNaWNyb2Jpb2xv
Z3ksIEZhY3VsdHkgb2YgTWVkaWNpbmUsIEtpbmcgQ2h1bGFsb25na29ybiBNZW1vcmlhbCBIb3Nw
aXRhbCBDaHVsYWxvbmdrb3JuIFVuaXZlcnNpdHksIEJhbmdrb2ssIFRoYWlsYW5kLiYjeEQ7RGVw
YXJ0bWVudCBvZiBNZWRpY2FsIE1pY3JvYmlvbG9neSwgUG9zdGdyYWR1YXRlIEluc3RpdHV0ZSBv
ZiBNZWRpY2FsIEVkdWNhdGlvbiAmYW1wOyBSZXNlYXJjaCwgQ2hhbmRpZ2FyaCwgSW5kaWEuJiN4
RDtEZXBhcnRtZW50IG9mIERlcm1hdG9sb2d5LCBQZWtpbmcgVW5pdmVyc2l0eSBGaXJzdCBIb3Nw
aXRhbCwgUmVzZWFyY2ggQ2VudHJlIGZvciBNZWRpY2FsIE15Y29sb2d5LCBQZWtpbmcgVW5pdmVy
c2l0eSwgQmVpamluZywgQ2hpbmEuJiN4RDtEZXBhcnRtZW50IG9mIERlcm1hdG9sb2d5LCBDaGFu
ZyBHdW5nIE1lbW9yaWFsIEhvc3BpdGFsLCBMaW5rb3UgQnJhbmNoIGFuZCBDb2xsZWdlIG9mIE1l
ZGljaW5lLCBDaGFuZyBHdW5nIFVuaXZlcnNpdHksIFRhb3l1YW4sIFRhaXdhbi4mI3hEO0RlcGFy
dG1lbnQgb2YgSW5mZWN0aW91cyBEaXNlYXNlcywgU2luZ2Fwb3JlIEdlbmVyYWwgSG9zcGl0YWws
IFNpbmdhcG9yZS4mI3hEO0RlcGFydG1lbnQgb2YgTWljcm9iaW9sb2d5IGFuZCBQYXJhc2l0b2xv
Z3ksIENlYnUgSW5zdGl0dXRlIG9mIE1lZGljaW5lLCBDZWJ1LCBQaGlsaXBwaW5lcy4mI3hEO0Rl
cGFydG1lbnQgb2YgUGFyYXNpdG9sb2d5LCBGYWN1bHR5IG9mIE1lZGljaW5lIFVuaXZlcnNpdGFz
IEluZG9uZXNpYSwgYW5kIERlcGFydG1lbnQgb2YgUGFyYXNpdG9sb2d5LCBGYWN1bHR5IG9mIE1l
ZGljaW5lIFVuaXZlcnNpdGFzIEtyaXN0ZW4gSW5kb25lc2lhLCBKYWthcnRhLCBJbmRvbmVzaWEu
JiN4RDtEZXBhcnRtZW50IG9mIEluZmVjdGlvdXMgRGlzZWFzZXMsIFN0ZXJsaW5nIEhvc3BpdGFs
LCBBaG1lZGFiYWQsIEluZGlhLiYjeEQ7RGVwYXJ0bWVudCBvZiBJbmZlY3Rpb3VzIERpc2Vhc2Vz
LCBQZWtpbmcgVW5pb24gTWVkaWNhbCBDb2xsZWdlIEhvc3BpdGFsLCBCZWlqaW5nLCBDaGluYS4m
I3hEO0RlcGFydG1lbnQgb2YgSW50ZXJuYWwgTWVkaWNpbmUsIE5hdGlvbmFsIFRhaXdhbiBVbml2
ZXJzaXR5IEhvc3BpdGFsIGFuZCBDb2xsZWdlIG9mIE1lZGljaW5lLCBUYWlwZWksIFRhaXdhbi4m
I3hEO0RlcGFydG1lbnQgb2YgTWVkaWNpbmUsIEZhY3VsdHkgb2YgTWVkaWNpbmUgU2lyaXJhaiBI
b3NwaXRhbCwgTWFoaWRvbCBVbml2ZXJzaXR5LCBCYW5na29rLCBUaGFpbGFuZC48L2F1dGgtYWRk
cmVzcz48dGl0bGVzPjx0aXRsZT5TdXJ2ZXkgb2YgbGFib3JhdG9yeSBwcmFjdGljZXMgZm9yIGRp
YWdub3NpcyBvZiBmdW5nYWwgaW5mZWN0aW9uIGluIHNldmVuIEFzaWFuIGNvdW50cmllczogQW4g
QXNpYSBGdW5nYWwgV29ya2luZyBHcm91cCAoQUZXRykgaW5pdGlhdGl2ZTwvdGl0bGU+PHNlY29u
ZGFyeS10aXRsZT5NZWQgTXljb2w8L3NlY29uZGFyeS10aXRsZT48L3RpdGxlcz48cGVyaW9kaWNh
bD48ZnVsbC10aXRsZT5NZWQgTXljb2w8L2Z1bGwtdGl0bGU+PC9wZXJpb2RpY2FsPjxwYWdlcz40
MTYtNDI1PC9wYWdlcz48dm9sdW1lPjU2PC92b2x1bWU+PG51bWJlcj40PC9udW1iZXI+PGVkaXRp
b24+MjAxNy8xMC8xNzwvZWRpdGlvbj48ZGF0ZXM+PHllYXI+MjAxODwveWVhcj48cHViLWRhdGVz
PjxkYXRlPkp1biAxPC9kYXRlPjwvcHViLWRhdGVzPjwvZGF0ZXM+PGlzYm4+MTQ2MC0yNzA5IChF
bGVjdHJvbmljKSYjeEQ7MTM2OS0zNzg2IChMaW5raW5nKTwvaXNibj48YWNjZXNzaW9uLW51bT4y
OTAzNjYwNTwvYWNjZXNzaW9uLW51bT48dXJscz48cmVsYXRlZC11cmxzPjx1cmw+aHR0cHM6Ly93
d3cubmNiaS5ubG0ubmloLmdvdi9wdWJtZWQvMjkwMzY2MDU8L3VybD48L3JlbGF0ZWQtdXJscz48
L3VybHM+PGVsZWN0cm9uaWMtcmVzb3VyY2UtbnVtPjEwLjEwOTMvbW15L215eDA2NjwvZWxlY3Ry
b25pYy1yZXNvdXJjZS1udW0+PC9yZWNvcmQ+PC9DaXRlPjxDaXRlPjxBdXRob3I+SGFzc2FuPC9B
dXRob3I+PFllYXI+MjAwNjwvWWVhcj48UmVjTnVtPjExPC9SZWNOdW0+PHJlY29yZD48cmVjLW51
bWJlcj4xMTwvcmVjLW51bWJlcj48Zm9yZWlnbi1rZXlzPjxrZXkgYXBwPSJFTiIgZGItaWQ9Indw
c3c1cDVwYXJ3ZDk5ZTV6MnNwMDVhbGY5eDV2ejl6NTIwcyIgdGltZXN0YW1wPSIxNTMwNDMxMzYw
Ij4xMTwva2V5PjxrZXkgYXBwPSJFTldlYiIgZGItaWQ9IiI+MDwva2V5PjwvZm9yZWlnbi1rZXlz
PjxyZWYtdHlwZSBuYW1lPSJKb3VybmFsIEFydGljbGUiPjE3PC9yZWYtdHlwZT48Y29udHJpYnV0
b3JzPjxhdXRob3JzPjxhdXRob3I+SGFzc2FuLCBJLiBBLjwvYXV0aG9yPjxhdXRob3I+Q3JpdHRl
biwgUC48L2F1dGhvcj48YXV0aG9yPklzYWxza2EsIEIuPC9hdXRob3I+PGF1dGhvcj5EZW5uaW5n
LCBELiBXLjwvYXV0aG9yPjwvYXV0aG9ycz48L2NvbnRyaWJ1dG9ycz48YXV0aC1hZGRyZXNzPkRl
cGFydG1lbnQgb2YgTWljcm9iaW9sb2d5IENTQiwgU01VSFQgV3l0aGVuc2hhd2UgSG9zcGl0YWws
IE1hbmNoZXN0ZXIsIFVLLiBpaGFzc2FuQGRvY3RvcnMub3JnLnVrPC9hdXRoLWFkZHJlc3M+PHRp
dGxlcz48dGl0bGU+QXVkaXQgb2YgbGFib3JhdG9yeSBteWNvbG9neSBzZXJ2aWNlcyBmb3IgdGhl
IG1hbmFnZW1lbnQgb2YgcGF0aWVudHMgd2l0aCBmdW5nYWwgaW5mZWN0aW9ucyBpbiB0aGUgbm9y
dGh3ZXN0IG9mIEVuZ2xhbmQ8L3RpdGxlPjxzZWNvbmRhcnktdGl0bGU+SiBDbGluIFBhdGhvbDwv
c2Vjb25kYXJ5LXRpdGxlPjwvdGl0bGVzPjxwZXJpb2RpY2FsPjxmdWxsLXRpdGxlPkogQ2xpbiBQ
YXRob2w8L2Z1bGwtdGl0bGU+PC9wZXJpb2RpY2FsPjxwYWdlcz43NTktNjM8L3BhZ2VzPjx2b2x1
bWU+NTk8L3ZvbHVtZT48bnVtYmVyPjc8L251bWJlcj48ZWRpdGlvbj4yMDA2LzA2LzI5PC9lZGl0
aW9uPjxrZXl3b3Jkcz48a2V5d29yZD5EZXJtYXRvbXljb3Nlcy9kaWFnbm9zaXM8L2tleXdvcmQ+
PGtleXdvcmQ+RW5nbGFuZDwva2V5d29yZD48a2V5d29yZD5GdW5nZW1pYS9kaWFnbm9zaXM8L2tl
eXdvcmQ+PGtleXdvcmQ+SHVtYW5zPC9rZXl3b3JkPjxrZXl3b3JkPkxhYm9yYXRvcmllcy8qc3Rh
bmRhcmRzL3N0YXRpc3RpY3MgJmFtcDsgbnVtZXJpY2FsIGRhdGE8L2tleXdvcmQ+PGtleXdvcmQ+
TWVkaWNhbCBBdWRpdDwva2V5d29yZD48a2V5d29yZD5NaWNyb2JpYWwgU2Vuc2l0aXZpdHkgVGVz
dHMvbWV0aG9kczwva2V5d29yZD48a2V5d29yZD5NeWNvbG9naWNhbCBUeXBpbmcgVGVjaG5pcXVl
cy9tZXRob2RzPC9rZXl3b3JkPjxrZXl3b3JkPk15Y29sb2d5L21ldGhvZHMvKnN0YW5kYXJkczwv
a2V5d29yZD48a2V5d29yZD5NeWNvc2VzLypkaWFnbm9zaXM8L2tleXdvcmQ+PGtleXdvcmQ+UXVh
bGl0eSBBc3N1cmFuY2UsIEhlYWx0aCBDYXJlPC9rZXl3b3JkPjwva2V5d29yZHM+PGRhdGVzPjx5
ZWFyPjIwMDY8L3llYXI+PHB1Yi1kYXRlcz48ZGF0ZT5KdWw8L2RhdGU+PC9wdWItZGF0ZXM+PC9k
YXRlcz48aXNibj4wMDIxLTk3NDYgKFByaW50KSYjeEQ7MDAyMS05NzQ2IChMaW5raW5nKTwvaXNi
bj48YWNjZXNzaW9uLW51bT4xNjgwMzk1MDwvYWNjZXNzaW9uLW51bT48dXJscz48cmVsYXRlZC11
cmxzPjx1cmw+aHR0cHM6Ly93d3cubmNiaS5ubG0ubmloLmdvdi9wdWJtZWQvMTY4MDM5NTA8L3Vy
bD48L3JlbGF0ZWQtdXJscz48L3VybHM+PGN1c3RvbTI+UE1DMTg2MDQyMDwvY3VzdG9tMj48ZWxl
Y3Ryb25pYy1yZXNvdXJjZS1udW0+MTAuMTEzNi9qY3AuMjAwNS4wMzQxMDg8L2VsZWN0cm9uaWMt
cmVzb3VyY2UtbnVtPjwvcmVjb3JkPjwvQ2l0ZT48L0VuZE5vdGU+
</w:fldData>
        </w:fldChar>
      </w:r>
      <w:r>
        <w:instrText xml:space="preserve"> ADDIN EN.CITE </w:instrText>
      </w:r>
      <w:r>
        <w:fldChar w:fldCharType="begin">
          <w:fldData xml:space="preserve">PEVuZE5vdGU+PENpdGU+PEF1dGhvcj5DaGluZGFtcG9ybjwvQXV0aG9yPjxZZWFyPjIwMTg8L1ll
YXI+PFJlY051bT4xPC9SZWNOdW0+PERpc3BsYXlUZXh0PlszLCAyMV08L0Rpc3BsYXlUZXh0Pjxy
ZWNvcmQ+PHJlYy1udW1iZXI+MTwvcmVjLW51bWJlcj48Zm9yZWlnbi1rZXlzPjxrZXkgYXBwPSJF
TiIgZGItaWQ9Indwc3c1cDVwYXJ3ZDk5ZTV6MnNwMDVhbGY5eDV2ejl6NTIwcyIgdGltZXN0YW1w
PSIxNTI5OTkzNDg1Ij4xPC9rZXk+PGtleSBhcHA9IkVOV2ViIiBkYi1pZD0iIj4wPC9rZXk+PC9m
b3JlaWduLWtleXM+PHJlZi10eXBlIG5hbWU9IkpvdXJuYWwgQXJ0aWNsZSI+MTc8L3JlZi10eXBl
Pjxjb250cmlidXRvcnM+PGF1dGhvcnM+PGF1dGhvcj5DaGluZGFtcG9ybiwgQS48L2F1dGhvcj48
YXV0aG9yPkNoYWtyYWJhcnRpLCBBLjwvYXV0aG9yPjxhdXRob3I+TGksIFIuPC9hdXRob3I+PGF1
dGhvcj5TdW4sIFAuIEwuPC9hdXRob3I+PGF1dGhvcj5UYW4sIEIuIEguPC9hdXRob3I+PGF1dGhv
cj5DaHVhLCBNLjwvYXV0aG9yPjxhdXRob3I+V2FoeXVuaW5nc2loLCBSLjwvYXV0aG9yPjxhdXRo
b3I+UGF0ZWwsIEEuPC9hdXRob3I+PGF1dGhvcj5MaXUsIFouPC9hdXRob3I+PGF1dGhvcj5DaGVu
LCBZLiBDLjwvYXV0aG9yPjxhdXRob3I+Q2hheWFrdWxrZWVyZWUsIE0uPC9hdXRob3I+PC9hdXRo
b3JzPjwvY29udHJpYnV0b3JzPjxhdXRoLWFkZHJlc3M+RGVwYXJ0bWVudCBvZiBNaWNyb2Jpb2xv
Z3ksIEZhY3VsdHkgb2YgTWVkaWNpbmUsIEtpbmcgQ2h1bGFsb25na29ybiBNZW1vcmlhbCBIb3Nw
aXRhbCBDaHVsYWxvbmdrb3JuIFVuaXZlcnNpdHksIEJhbmdrb2ssIFRoYWlsYW5kLiYjeEQ7RGVw
YXJ0bWVudCBvZiBNZWRpY2FsIE1pY3JvYmlvbG9neSwgUG9zdGdyYWR1YXRlIEluc3RpdHV0ZSBv
ZiBNZWRpY2FsIEVkdWNhdGlvbiAmYW1wOyBSZXNlYXJjaCwgQ2hhbmRpZ2FyaCwgSW5kaWEuJiN4
RDtEZXBhcnRtZW50IG9mIERlcm1hdG9sb2d5LCBQZWtpbmcgVW5pdmVyc2l0eSBGaXJzdCBIb3Nw
aXRhbCwgUmVzZWFyY2ggQ2VudHJlIGZvciBNZWRpY2FsIE15Y29sb2d5LCBQZWtpbmcgVW5pdmVy
c2l0eSwgQmVpamluZywgQ2hpbmEuJiN4RDtEZXBhcnRtZW50IG9mIERlcm1hdG9sb2d5LCBDaGFu
ZyBHdW5nIE1lbW9yaWFsIEhvc3BpdGFsLCBMaW5rb3UgQnJhbmNoIGFuZCBDb2xsZWdlIG9mIE1l
ZGljaW5lLCBDaGFuZyBHdW5nIFVuaXZlcnNpdHksIFRhb3l1YW4sIFRhaXdhbi4mI3hEO0RlcGFy
dG1lbnQgb2YgSW5mZWN0aW91cyBEaXNlYXNlcywgU2luZ2Fwb3JlIEdlbmVyYWwgSG9zcGl0YWws
IFNpbmdhcG9yZS4mI3hEO0RlcGFydG1lbnQgb2YgTWljcm9iaW9sb2d5IGFuZCBQYXJhc2l0b2xv
Z3ksIENlYnUgSW5zdGl0dXRlIG9mIE1lZGljaW5lLCBDZWJ1LCBQaGlsaXBwaW5lcy4mI3hEO0Rl
cGFydG1lbnQgb2YgUGFyYXNpdG9sb2d5LCBGYWN1bHR5IG9mIE1lZGljaW5lIFVuaXZlcnNpdGFz
IEluZG9uZXNpYSwgYW5kIERlcGFydG1lbnQgb2YgUGFyYXNpdG9sb2d5LCBGYWN1bHR5IG9mIE1l
ZGljaW5lIFVuaXZlcnNpdGFzIEtyaXN0ZW4gSW5kb25lc2lhLCBKYWthcnRhLCBJbmRvbmVzaWEu
JiN4RDtEZXBhcnRtZW50IG9mIEluZmVjdGlvdXMgRGlzZWFzZXMsIFN0ZXJsaW5nIEhvc3BpdGFs
LCBBaG1lZGFiYWQsIEluZGlhLiYjeEQ7RGVwYXJ0bWVudCBvZiBJbmZlY3Rpb3VzIERpc2Vhc2Vz
LCBQZWtpbmcgVW5pb24gTWVkaWNhbCBDb2xsZWdlIEhvc3BpdGFsLCBCZWlqaW5nLCBDaGluYS4m
I3hEO0RlcGFydG1lbnQgb2YgSW50ZXJuYWwgTWVkaWNpbmUsIE5hdGlvbmFsIFRhaXdhbiBVbml2
ZXJzaXR5IEhvc3BpdGFsIGFuZCBDb2xsZWdlIG9mIE1lZGljaW5lLCBUYWlwZWksIFRhaXdhbi4m
I3hEO0RlcGFydG1lbnQgb2YgTWVkaWNpbmUsIEZhY3VsdHkgb2YgTWVkaWNpbmUgU2lyaXJhaiBI
b3NwaXRhbCwgTWFoaWRvbCBVbml2ZXJzaXR5LCBCYW5na29rLCBUaGFpbGFuZC48L2F1dGgtYWRk
cmVzcz48dGl0bGVzPjx0aXRsZT5TdXJ2ZXkgb2YgbGFib3JhdG9yeSBwcmFjdGljZXMgZm9yIGRp
YWdub3NpcyBvZiBmdW5nYWwgaW5mZWN0aW9uIGluIHNldmVuIEFzaWFuIGNvdW50cmllczogQW4g
QXNpYSBGdW5nYWwgV29ya2luZyBHcm91cCAoQUZXRykgaW5pdGlhdGl2ZTwvdGl0bGU+PHNlY29u
ZGFyeS10aXRsZT5NZWQgTXljb2w8L3NlY29uZGFyeS10aXRsZT48L3RpdGxlcz48cGVyaW9kaWNh
bD48ZnVsbC10aXRsZT5NZWQgTXljb2w8L2Z1bGwtdGl0bGU+PC9wZXJpb2RpY2FsPjxwYWdlcz40
MTYtNDI1PC9wYWdlcz48dm9sdW1lPjU2PC92b2x1bWU+PG51bWJlcj40PC9udW1iZXI+PGVkaXRp
b24+MjAxNy8xMC8xNzwvZWRpdGlvbj48ZGF0ZXM+PHllYXI+MjAxODwveWVhcj48cHViLWRhdGVz
PjxkYXRlPkp1biAxPC9kYXRlPjwvcHViLWRhdGVzPjwvZGF0ZXM+PGlzYm4+MTQ2MC0yNzA5IChF
bGVjdHJvbmljKSYjeEQ7MTM2OS0zNzg2IChMaW5raW5nKTwvaXNibj48YWNjZXNzaW9uLW51bT4y
OTAzNjYwNTwvYWNjZXNzaW9uLW51bT48dXJscz48cmVsYXRlZC11cmxzPjx1cmw+aHR0cHM6Ly93
d3cubmNiaS5ubG0ubmloLmdvdi9wdWJtZWQvMjkwMzY2MDU8L3VybD48L3JlbGF0ZWQtdXJscz48
L3VybHM+PGVsZWN0cm9uaWMtcmVzb3VyY2UtbnVtPjEwLjEwOTMvbW15L215eDA2NjwvZWxlY3Ry
b25pYy1yZXNvdXJjZS1udW0+PC9yZWNvcmQ+PC9DaXRlPjxDaXRlPjxBdXRob3I+SGFzc2FuPC9B
dXRob3I+PFllYXI+MjAwNjwvWWVhcj48UmVjTnVtPjExPC9SZWNOdW0+PHJlY29yZD48cmVjLW51
bWJlcj4xMTwvcmVjLW51bWJlcj48Zm9yZWlnbi1rZXlzPjxrZXkgYXBwPSJFTiIgZGItaWQ9Indw
c3c1cDVwYXJ3ZDk5ZTV6MnNwMDVhbGY5eDV2ejl6NTIwcyIgdGltZXN0YW1wPSIxNTMwNDMxMzYw
Ij4xMTwva2V5PjxrZXkgYXBwPSJFTldlYiIgZGItaWQ9IiI+MDwva2V5PjwvZm9yZWlnbi1rZXlz
PjxyZWYtdHlwZSBuYW1lPSJKb3VybmFsIEFydGljbGUiPjE3PC9yZWYtdHlwZT48Y29udHJpYnV0
b3JzPjxhdXRob3JzPjxhdXRob3I+SGFzc2FuLCBJLiBBLjwvYXV0aG9yPjxhdXRob3I+Q3JpdHRl
biwgUC48L2F1dGhvcj48YXV0aG9yPklzYWxza2EsIEIuPC9hdXRob3I+PGF1dGhvcj5EZW5uaW5n
LCBELiBXLjwvYXV0aG9yPjwvYXV0aG9ycz48L2NvbnRyaWJ1dG9ycz48YXV0aC1hZGRyZXNzPkRl
cGFydG1lbnQgb2YgTWljcm9iaW9sb2d5IENTQiwgU01VSFQgV3l0aGVuc2hhd2UgSG9zcGl0YWws
IE1hbmNoZXN0ZXIsIFVLLiBpaGFzc2FuQGRvY3RvcnMub3JnLnVrPC9hdXRoLWFkZHJlc3M+PHRp
dGxlcz48dGl0bGU+QXVkaXQgb2YgbGFib3JhdG9yeSBteWNvbG9neSBzZXJ2aWNlcyBmb3IgdGhl
IG1hbmFnZW1lbnQgb2YgcGF0aWVudHMgd2l0aCBmdW5nYWwgaW5mZWN0aW9ucyBpbiB0aGUgbm9y
dGh3ZXN0IG9mIEVuZ2xhbmQ8L3RpdGxlPjxzZWNvbmRhcnktdGl0bGU+SiBDbGluIFBhdGhvbDwv
c2Vjb25kYXJ5LXRpdGxlPjwvdGl0bGVzPjxwZXJpb2RpY2FsPjxmdWxsLXRpdGxlPkogQ2xpbiBQ
YXRob2w8L2Z1bGwtdGl0bGU+PC9wZXJpb2RpY2FsPjxwYWdlcz43NTktNjM8L3BhZ2VzPjx2b2x1
bWU+NTk8L3ZvbHVtZT48bnVtYmVyPjc8L251bWJlcj48ZWRpdGlvbj4yMDA2LzA2LzI5PC9lZGl0
aW9uPjxrZXl3b3Jkcz48a2V5d29yZD5EZXJtYXRvbXljb3Nlcy9kaWFnbm9zaXM8L2tleXdvcmQ+
PGtleXdvcmQ+RW5nbGFuZDwva2V5d29yZD48a2V5d29yZD5GdW5nZW1pYS9kaWFnbm9zaXM8L2tl
eXdvcmQ+PGtleXdvcmQ+SHVtYW5zPC9rZXl3b3JkPjxrZXl3b3JkPkxhYm9yYXRvcmllcy8qc3Rh
bmRhcmRzL3N0YXRpc3RpY3MgJmFtcDsgbnVtZXJpY2FsIGRhdGE8L2tleXdvcmQ+PGtleXdvcmQ+
TWVkaWNhbCBBdWRpdDwva2V5d29yZD48a2V5d29yZD5NaWNyb2JpYWwgU2Vuc2l0aXZpdHkgVGVz
dHMvbWV0aG9kczwva2V5d29yZD48a2V5d29yZD5NeWNvbG9naWNhbCBUeXBpbmcgVGVjaG5pcXVl
cy9tZXRob2RzPC9rZXl3b3JkPjxrZXl3b3JkPk15Y29sb2d5L21ldGhvZHMvKnN0YW5kYXJkczwv
a2V5d29yZD48a2V5d29yZD5NeWNvc2VzLypkaWFnbm9zaXM8L2tleXdvcmQ+PGtleXdvcmQ+UXVh
bGl0eSBBc3N1cmFuY2UsIEhlYWx0aCBDYXJlPC9rZXl3b3JkPjwva2V5d29yZHM+PGRhdGVzPjx5
ZWFyPjIwMDY8L3llYXI+PHB1Yi1kYXRlcz48ZGF0ZT5KdWw8L2RhdGU+PC9wdWItZGF0ZXM+PC9k
YXRlcz48aXNibj4wMDIxLTk3NDYgKFByaW50KSYjeEQ7MDAyMS05NzQ2IChMaW5raW5nKTwvaXNi
bj48YWNjZXNzaW9uLW51bT4xNjgwMzk1MDwvYWNjZXNzaW9uLW51bT48dXJscz48cmVsYXRlZC11
cmxzPjx1cmw+aHR0cHM6Ly93d3cubmNiaS5ubG0ubmloLmdvdi9wdWJtZWQvMTY4MDM5NTA8L3Vy
bD48L3JlbGF0ZWQtdXJscz48L3VybHM+PGN1c3RvbTI+UE1DMTg2MDQyMDwvY3VzdG9tMj48ZWxl
Y3Ryb25pYy1yZXNvdXJjZS1udW0+MTAuMTEzNi9qY3AuMjAwNS4wMzQxMDg8L2VsZWN0cm9uaWMt
cmVzb3VyY2UtbnVtPjwvcmVjb3JkPjwvQ2l0ZT48L0VuZE5vdGU+
</w:fldData>
        </w:fldChar>
      </w:r>
      <w:r>
        <w:instrText xml:space="preserve"> ADDIN EN.CITE.DATA </w:instrText>
      </w:r>
      <w:r>
        <w:fldChar w:fldCharType="end"/>
      </w:r>
      <w:r>
        <w:fldChar w:fldCharType="separate"/>
      </w:r>
      <w:r>
        <w:t>[3, 21]</w:t>
      </w:r>
      <w:r>
        <w:fldChar w:fldCharType="end"/>
      </w:r>
      <w:r>
        <w:rPr>
          <w:rFonts w:hint="eastAsia"/>
        </w:rPr>
        <w:t>，此次参与调研的3</w:t>
      </w:r>
      <w:r>
        <w:t>48</w:t>
      </w:r>
      <w:r>
        <w:rPr>
          <w:rFonts w:hint="eastAsia"/>
        </w:rPr>
        <w:t>家医院中也仅有1</w:t>
      </w:r>
      <w:r>
        <w:t>4</w:t>
      </w:r>
      <w:r>
        <w:rPr>
          <w:rFonts w:hint="eastAsia"/>
        </w:rPr>
        <w:t>%</w:t>
      </w:r>
      <w:r>
        <w:t xml:space="preserve"> </w:t>
      </w:r>
      <w:r>
        <w:rPr>
          <w:rFonts w:hint="eastAsia"/>
        </w:rPr>
        <w:t>的医院有能力在本院开展丝状真菌的药敏试验。</w:t>
      </w:r>
    </w:p>
    <w:p>
      <w:r>
        <w:rPr>
          <w:rFonts w:hint="eastAsia"/>
        </w:rPr>
        <w:t>就试验方法而言，肉汤稀释法虽为药敏试验的金标准，但由于该方法费时费力，且对专业人员要求较高，因此，操作简便的商业化仪器及试剂更适合在临床开展和应用。此次调研结果显示，在本院开展药敏试验的3</w:t>
      </w:r>
      <w:r>
        <w:t>21</w:t>
      </w:r>
      <w:r>
        <w:rPr>
          <w:rFonts w:hint="eastAsia"/>
        </w:rPr>
        <w:t>家医院中，商业化仪器及试剂的普及率高达</w:t>
      </w:r>
      <w:r>
        <w:t>92%</w:t>
      </w:r>
      <w:r>
        <w:rPr>
          <w:rFonts w:hint="eastAsia"/>
        </w:rPr>
        <w:t>。在酵母菌药敏试验方面，基于肉汤稀释法的ATB</w:t>
      </w:r>
      <w:r>
        <w:t xml:space="preserve"> </w:t>
      </w:r>
      <w:r>
        <w:rPr>
          <w:rFonts w:hint="eastAsia"/>
        </w:rPr>
        <w:t>fungus</w:t>
      </w:r>
      <w:r>
        <w:t xml:space="preserve"> 3</w:t>
      </w:r>
      <w:r>
        <w:rPr>
          <w:rFonts w:hint="eastAsia"/>
        </w:rPr>
        <w:t>药敏试条使用最广，7</w:t>
      </w:r>
      <w:r>
        <w:t>1</w:t>
      </w:r>
      <w:r>
        <w:rPr>
          <w:rFonts w:hint="eastAsia"/>
        </w:rPr>
        <w:t>%</w:t>
      </w:r>
      <w:r>
        <w:t xml:space="preserve"> </w:t>
      </w:r>
      <w:r>
        <w:rPr>
          <w:rFonts w:hint="eastAsia"/>
        </w:rPr>
        <w:t>的医院均有配备。此外，纸片法由于操作简便、判读直观，也有1</w:t>
      </w:r>
      <w:r>
        <w:t>3</w:t>
      </w:r>
      <w:r>
        <w:rPr>
          <w:rFonts w:hint="eastAsia"/>
        </w:rPr>
        <w:t>%</w:t>
      </w:r>
      <w:r>
        <w:t xml:space="preserve"> </w:t>
      </w:r>
      <w:r>
        <w:rPr>
          <w:rFonts w:hint="eastAsia"/>
        </w:rPr>
        <w:t>的医院采用配备。相比而言，价格相对较高的Yeast</w:t>
      </w:r>
      <w:r>
        <w:t xml:space="preserve"> One</w:t>
      </w:r>
      <w:r>
        <w:rPr>
          <w:rFonts w:hint="eastAsia"/>
        </w:rPr>
        <w:t>和Etest法在三甲医院中的普及率很低，均不足7%；参与科研的医院中开展相对较多，均为1</w:t>
      </w:r>
      <w:r>
        <w:t>2</w:t>
      </w:r>
      <w:r>
        <w:rPr>
          <w:rFonts w:hint="eastAsia"/>
        </w:rPr>
        <w:t>%。在丝状真菌方面，Etest、Yeast</w:t>
      </w:r>
      <w:r>
        <w:t xml:space="preserve"> O</w:t>
      </w:r>
      <w:r>
        <w:rPr>
          <w:rFonts w:hint="eastAsia"/>
        </w:rPr>
        <w:t>ne和纸片法均有采用，且比例类似。此外，调查显示，也有部分医院采用真菌鉴定及药敏试验一体化的商业化测试，如迪尔鉴定系统、美华真菌鉴定板、安图真菌快速培养快速检测药敏试剂盒等。</w:t>
      </w:r>
    </w:p>
    <w:p>
      <w:r>
        <w:rPr>
          <w:rFonts w:hint="eastAsia"/>
        </w:rPr>
        <w:t>总体而言，虽然我国三甲医院开展药敏试验的基线水平较国际水平不低，但综合我国真菌感染及耐药现况，为应对真菌耐药性日渐上升的趋势，仍应考虑进一步提高三甲医院在本院开展药敏试验的能力。一方面，要进一步提高药敏试验的覆盖率，提高能在本院开展药敏试验的医院数量。另一方面，由于药敏试验方法各有利弊，譬如ATB</w:t>
      </w:r>
      <w:r>
        <w:t xml:space="preserve"> Fungus</w:t>
      </w:r>
      <w:r>
        <w:rPr>
          <w:rFonts w:hint="eastAsia"/>
        </w:rPr>
        <w:t>准确率高、重复性少，但可选择的药品种类较少，且仅限于念珠菌、隐球菌等酵母菌；而Y</w:t>
      </w:r>
      <w:r>
        <w:t>east One</w:t>
      </w:r>
      <w:r>
        <w:rPr>
          <w:rFonts w:hint="eastAsia"/>
        </w:rPr>
        <w:t>价格虽高，但可选择的药物种类多，且每种药物均含有多个梯度浓度；各种试验方法间具有互补性，配合使用方可相得益彰。因此，应鼓励三甲医院在有条件的情况下配备不同药敏方法所需的药敏纸片、试条、全/半自动真菌药敏系统等，做到与时俱进，以更好的满足真菌感染指导用药、合理用药的需求。</w:t>
      </w:r>
    </w:p>
    <w:p/>
    <w:p>
      <w:pPr>
        <w:pStyle w:val="4"/>
      </w:pPr>
      <w:bookmarkStart w:id="96" w:name="_Toc519069716"/>
      <w:r>
        <w:rPr>
          <w:rFonts w:hint="eastAsia"/>
        </w:rPr>
        <w:t>血清学检测开展现状</w:t>
      </w:r>
      <w:bookmarkEnd w:id="96"/>
    </w:p>
    <w:p>
      <w:r>
        <w:rPr>
          <w:rFonts w:hint="eastAsia"/>
        </w:rPr>
        <w:t>随着真菌生物标记物研究的发展，简便快速、敏感度高、特异性好的血清学检测成为了侵袭性真菌感染的重要诊断方法。其中，G试验和GM试验的临床应用最广，为侵袭性真菌病的诊断提供了重要依据，尤其是GM试验对侵袭性曲霉病的早期诊断有着很高的临床应用价值。近1</w:t>
      </w:r>
      <w:r>
        <w:t>0</w:t>
      </w:r>
      <w:r>
        <w:rPr>
          <w:rFonts w:hint="eastAsia"/>
        </w:rPr>
        <w:t>年来，国内医院相继开展血清学检测用于侵袭性真菌病的辅助诊断，至今，已有7</w:t>
      </w:r>
      <w:r>
        <w:t>7</w:t>
      </w:r>
      <w:r>
        <w:rPr>
          <w:rFonts w:hint="eastAsia"/>
        </w:rPr>
        <w:t>%的三甲医院配备G试验方法，4</w:t>
      </w:r>
      <w:r>
        <w:t>7</w:t>
      </w:r>
      <w:r>
        <w:rPr>
          <w:rFonts w:hint="eastAsia"/>
        </w:rPr>
        <w:t>%配备G</w:t>
      </w:r>
      <w:r>
        <w:t>M</w:t>
      </w:r>
      <w:r>
        <w:rPr>
          <w:rFonts w:hint="eastAsia"/>
        </w:rPr>
        <w:t xml:space="preserve">试验方法。虽然该比例与亚洲其他地区相比处于较高水平 </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 xml:space="preserve">，但仍应考虑进一步提高这两种方法的开展比例，尤其是GM试验的覆盖率。一方面，近年来我国侵袭性曲霉菌病的流行率逐渐升高 </w:t>
      </w:r>
      <w:r>
        <w:fldChar w:fldCharType="begin">
          <w:fldData xml:space="preserve">PEVuZE5vdGU+PENpdGU+PEF1dGhvcj5DaGVuPC9BdXRob3I+PFllYXI+MjAxODwvWWVhcj48UmVj
TnVtPjEwPC9SZWNOdW0+PERpc3BsYXlUZXh0PlsxXTwvRGlzcGxheVRleHQ+PHJlY29yZD48cmVj
LW51bWJlcj4xMDwvcmVjLW51bWJlcj48Zm9yZWlnbi1rZXlzPjxrZXkgYXBwPSJFTiIgZGItaWQ9
Indwc3c1cDVwYXJ3ZDk5ZTV6MnNwMDVhbGY5eDV2ejl6NTIwcyIgdGltZXN0YW1wPSIxNTMwMDA5
MjIxIj4xMDwva2V5PjxrZXkgYXBwPSJFTldlYiIgZGItaWQ9IiI+MDwva2V5PjwvZm9yZWlnbi1r
ZXlzPjxyZWYtdHlwZSBuYW1lPSJKb3VybmFsIEFydGljbGUiPjE3PC9yZWYtdHlwZT48Y29udHJp
YnV0b3JzPjxhdXRob3JzPjxhdXRob3I+Q2hlbiwgTS48L2F1dGhvcj48YXV0aG9yPlh1LCBZLjwv
YXV0aG9yPjxhdXRob3I+SG9uZywgTi48L2F1dGhvcj48YXV0aG9yPllhbmcsIFkuPC9hdXRob3I+
PGF1dGhvcj5MZWksIFcuPC9hdXRob3I+PGF1dGhvcj5EdSwgTC48L2F1dGhvcj48YXV0aG9yPlpo
YW8sIEouPC9hdXRob3I+PGF1dGhvcj5MZWksIFguPC9hdXRob3I+PGF1dGhvcj5YaW9uZywgTC48
L2F1dGhvcj48YXV0aG9yPkNhaSwgTC48L2F1dGhvcj48YXV0aG9yPlh1LCBILjwvYXV0aG9yPjxh
dXRob3I+UGFuLCBXLjwvYXV0aG9yPjxhdXRob3I+TGlhbywgVy48L2F1dGhvcj48L2F1dGhvcnM+
PC9jb250cmlidXRvcnM+PGF1dGgtYWRkcmVzcz5EZXBhcnRtZW50IG9mIERlcm1hdG9sb2d5LCBD
aGFuZ3poZW5nIEhvc3BpdGFsLCBTZWNvbmQgTWlsaXRhcnkgTWVkaWNhbCBVbml2ZXJzaXR5LCBT
aGFuZ2hhaSwgMjAwMDAzLCBDaGluYS4mI3hEO1NoYW5naGFpIEtleSBMYWJvcmF0b3J5IG9mIE1v
bGVjdWxhciBNZWRpY2FsIE15Y29sb2d5LCBDaGFuZ3poZW5nIEhvc3BpdGFsLCBTZWNvbmQgTWls
aXRhcnkgTWVkaWNhbCBVbml2ZXJzaXR5LCBTaGFuZ2hhaSwgMjAwMDAzLCBDaGluYS4mI3hEO0Rl
cGFydG1lbnQgb2YgRGVybWF0b2xvZ3ksIFRvbmdqaSBIb3NwaXRhbCwgVG9uZ2ppIFVuaXZlcnNp
dHksIFNoYW5naGFpLCAyMDA0NDIsIENoaW5hLiYjeEQ7RGVwYXJ0bWVudCBvZiBEZXJtYXRvbG9n
eSwgRGFwaW5nIEhvc3BpdGFsLCBUaGlyZCBNaWxpdGFyeSBNZWRpY2FsIFVuaXZlcnNpdHksIENo
b25ncWluZywgNDAwMDQyLCBDaGluYS4mI3hEO0RlcGFydG1lbnQgb2YgRGVybWF0b2xvZ3ksIHRo
ZSBQZW9wbGUmYXBvcztzIEhvc3BpdGFsIG9mIFlhbiZhcG9zO2FuLCBZYW4mYXBvczthbiwgNzE2
MDAwLCBDaGluYS4mI3hEO0RlcGFydG1lbnQgb2YgRGVybWF0b2xvZ3ksIHRoZSBGaXJzdCBBZmZp
bGlhdGVkIEhvc3BpdGFsIG9mIFhpYW1lbiBVbml2ZXJzaXR5LCBYaWFtZW4sIDM2MTAwMywgQ2hp
bmEuJiN4RDtEZXBhcnRtZW50IG9mIERlcm1hdG9sb2d5LCBTaGFuZ2hhaSBOaW50aCBQZW9wbGUm
YXBvcztzIEhvc3BpdGFsLCBTaGFuZ2hhaSBKaWFvIFRvbmcgVW5pdmVyc2l0eSBTY2hvb2wgb2Yg
TWVkaWNpbmUsIFNoYW5naGFpLCAyMDAwMTEsIENoaW5hLiYjeEQ7RGVwYXJ0bWVudCBvZiBEZXJt
YXRvbG9neSwgQ2hhbmd6aGVuZyBIb3NwaXRhbCwgU2Vjb25kIE1pbGl0YXJ5IE1lZGljYWwgVW5p
dmVyc2l0eSwgU2hhbmdoYWksIDIwMDAwMywgQ2hpbmEuIHBhbndlaWh1YUBtZWRtYWlsLmNvbS5j
bi4mI3hEO1NoYW5naGFpIEtleSBMYWJvcmF0b3J5IG9mIE1vbGVjdWxhciBNZWRpY2FsIE15Y29s
b2d5LCBDaGFuZ3poZW5nIEhvc3BpdGFsLCBTZWNvbmQgTWlsaXRhcnkgTWVkaWNhbCBVbml2ZXJz
aXR5LCBTaGFuZ2hhaSwgMjAwMDAzLCBDaGluYS4gbGlhb3dhbnFpbmdAc21tdS5lZHUuY24uPC9h
dXRoLWFkZHJlc3M+PHRpdGxlcz48dGl0bGU+RXBpZGVtaW9sb2d5IG9mIGZ1bmdhbCBpbmZlY3Rp
b25zIGluIENoaW5hPC90aXRsZT48c2Vjb25kYXJ5LXRpdGxlPkZyb250IE1lZDwvc2Vjb25kYXJ5
LXRpdGxlPjwvdGl0bGVzPjxwZXJpb2RpY2FsPjxmdWxsLXRpdGxlPkZyb250IE1lZDwvZnVsbC10
aXRsZT48L3BlcmlvZGljYWw+PHBhZ2VzPjU4LTc1PC9wYWdlcz48dm9sdW1lPjEyPC92b2x1bWU+
PG51bWJlcj4xPC9udW1iZXI+PGVkaXRpb24+MjAxOC8wMS8zMTwvZWRpdGlvbj48a2V5d29yZHM+
PGtleXdvcmQ+Q2hpbmE8L2tleXdvcmQ+PGtleXdvcmQ+ZXBpZGVtaW9sb2d5PC9rZXl3b3JkPjxr
ZXl3b3JkPmZ1bmdpPC9rZXl3b3JkPjxrZXl3b3JkPmluZmVjdGlvbjwva2V5d29yZD48L2tleXdv
cmRzPjxkYXRlcz48eWVhcj4yMDE4PC95ZWFyPjxwdWItZGF0ZXM+PGRhdGU+RmViPC9kYXRlPjwv
cHViLWRhdGVzPjwvZGF0ZXM+PGlzYm4+MjA5NS0wMjI1IChFbGVjdHJvbmljKSYjeEQ7MjA5NS0w
MjE3IChMaW5raW5nKTwvaXNibj48YWNjZXNzaW9uLW51bT4yOTM4MDI5NzwvYWNjZXNzaW9uLW51
bT48dXJscz48cmVsYXRlZC11cmxzPjx1cmw+aHR0cHM6Ly93d3cubmNiaS5ubG0ubmloLmdvdi9w
dWJtZWQvMjkzODAyOTc8L3VybD48L3JlbGF0ZWQtdXJscz48L3VybHM+PGVsZWN0cm9uaWMtcmVz
b3VyY2UtbnVtPjEwLjEwMDcvczExNjg0LTAxNy0wNjAxLTA8L2VsZWN0cm9uaWMtcmVzb3VyY2Ut
bnVtPjwvcmVjb3JkPjwvQ2l0ZT48L0VuZE5vdGU+AGAA
</w:fldData>
        </w:fldChar>
      </w:r>
      <w:r>
        <w:instrText xml:space="preserve"> ADDIN EN.CITE </w:instrText>
      </w:r>
      <w:r>
        <w:fldChar w:fldCharType="begin">
          <w:fldData xml:space="preserve">PEVuZE5vdGU+PENpdGU+PEF1dGhvcj5DaGVuPC9BdXRob3I+PFllYXI+MjAxODwvWWVhcj48UmVj
TnVtPjEwPC9SZWNOdW0+PERpc3BsYXlUZXh0PlsxXTwvRGlzcGxheVRleHQ+PHJlY29yZD48cmVj
LW51bWJlcj4xMDwvcmVjLW51bWJlcj48Zm9yZWlnbi1rZXlzPjxrZXkgYXBwPSJFTiIgZGItaWQ9
Indwc3c1cDVwYXJ3ZDk5ZTV6MnNwMDVhbGY5eDV2ejl6NTIwcyIgdGltZXN0YW1wPSIxNTMwMDA5
MjIxIj4xMDwva2V5PjxrZXkgYXBwPSJFTldlYiIgZGItaWQ9IiI+MDwva2V5PjwvZm9yZWlnbi1r
ZXlzPjxyZWYtdHlwZSBuYW1lPSJKb3VybmFsIEFydGljbGUiPjE3PC9yZWYtdHlwZT48Y29udHJp
YnV0b3JzPjxhdXRob3JzPjxhdXRob3I+Q2hlbiwgTS48L2F1dGhvcj48YXV0aG9yPlh1LCBZLjwv
YXV0aG9yPjxhdXRob3I+SG9uZywgTi48L2F1dGhvcj48YXV0aG9yPllhbmcsIFkuPC9hdXRob3I+
PGF1dGhvcj5MZWksIFcuPC9hdXRob3I+PGF1dGhvcj5EdSwgTC48L2F1dGhvcj48YXV0aG9yPlpo
YW8sIEouPC9hdXRob3I+PGF1dGhvcj5MZWksIFguPC9hdXRob3I+PGF1dGhvcj5YaW9uZywgTC48
L2F1dGhvcj48YXV0aG9yPkNhaSwgTC48L2F1dGhvcj48YXV0aG9yPlh1LCBILjwvYXV0aG9yPjxh
dXRob3I+UGFuLCBXLjwvYXV0aG9yPjxhdXRob3I+TGlhbywgVy48L2F1dGhvcj48L2F1dGhvcnM+
PC9jb250cmlidXRvcnM+PGF1dGgtYWRkcmVzcz5EZXBhcnRtZW50IG9mIERlcm1hdG9sb2d5LCBD
aGFuZ3poZW5nIEhvc3BpdGFsLCBTZWNvbmQgTWlsaXRhcnkgTWVkaWNhbCBVbml2ZXJzaXR5LCBT
aGFuZ2hhaSwgMjAwMDAzLCBDaGluYS4mI3hEO1NoYW5naGFpIEtleSBMYWJvcmF0b3J5IG9mIE1v
bGVjdWxhciBNZWRpY2FsIE15Y29sb2d5LCBDaGFuZ3poZW5nIEhvc3BpdGFsLCBTZWNvbmQgTWls
aXRhcnkgTWVkaWNhbCBVbml2ZXJzaXR5LCBTaGFuZ2hhaSwgMjAwMDAzLCBDaGluYS4mI3hEO0Rl
cGFydG1lbnQgb2YgRGVybWF0b2xvZ3ksIFRvbmdqaSBIb3NwaXRhbCwgVG9uZ2ppIFVuaXZlcnNp
dHksIFNoYW5naGFpLCAyMDA0NDIsIENoaW5hLiYjeEQ7RGVwYXJ0bWVudCBvZiBEZXJtYXRvbG9n
eSwgRGFwaW5nIEhvc3BpdGFsLCBUaGlyZCBNaWxpdGFyeSBNZWRpY2FsIFVuaXZlcnNpdHksIENo
b25ncWluZywgNDAwMDQyLCBDaGluYS4mI3hEO0RlcGFydG1lbnQgb2YgRGVybWF0b2xvZ3ksIHRo
ZSBQZW9wbGUmYXBvcztzIEhvc3BpdGFsIG9mIFlhbiZhcG9zO2FuLCBZYW4mYXBvczthbiwgNzE2
MDAwLCBDaGluYS4mI3hEO0RlcGFydG1lbnQgb2YgRGVybWF0b2xvZ3ksIHRoZSBGaXJzdCBBZmZp
bGlhdGVkIEhvc3BpdGFsIG9mIFhpYW1lbiBVbml2ZXJzaXR5LCBYaWFtZW4sIDM2MTAwMywgQ2hp
bmEuJiN4RDtEZXBhcnRtZW50IG9mIERlcm1hdG9sb2d5LCBTaGFuZ2hhaSBOaW50aCBQZW9wbGUm
YXBvcztzIEhvc3BpdGFsLCBTaGFuZ2hhaSBKaWFvIFRvbmcgVW5pdmVyc2l0eSBTY2hvb2wgb2Yg
TWVkaWNpbmUsIFNoYW5naGFpLCAyMDAwMTEsIENoaW5hLiYjeEQ7RGVwYXJ0bWVudCBvZiBEZXJt
YXRvbG9neSwgQ2hhbmd6aGVuZyBIb3NwaXRhbCwgU2Vjb25kIE1pbGl0YXJ5IE1lZGljYWwgVW5p
dmVyc2l0eSwgU2hhbmdoYWksIDIwMDAwMywgQ2hpbmEuIHBhbndlaWh1YUBtZWRtYWlsLmNvbS5j
bi4mI3hEO1NoYW5naGFpIEtleSBMYWJvcmF0b3J5IG9mIE1vbGVjdWxhciBNZWRpY2FsIE15Y29s
b2d5LCBDaGFuZ3poZW5nIEhvc3BpdGFsLCBTZWNvbmQgTWlsaXRhcnkgTWVkaWNhbCBVbml2ZXJz
aXR5LCBTaGFuZ2hhaSwgMjAwMDAzLCBDaGluYS4gbGlhb3dhbnFpbmdAc21tdS5lZHUuY24uPC9h
dXRoLWFkZHJlc3M+PHRpdGxlcz48dGl0bGU+RXBpZGVtaW9sb2d5IG9mIGZ1bmdhbCBpbmZlY3Rp
b25zIGluIENoaW5hPC90aXRsZT48c2Vjb25kYXJ5LXRpdGxlPkZyb250IE1lZDwvc2Vjb25kYXJ5
LXRpdGxlPjwvdGl0bGVzPjxwZXJpb2RpY2FsPjxmdWxsLXRpdGxlPkZyb250IE1lZDwvZnVsbC10
aXRsZT48L3BlcmlvZGljYWw+PHBhZ2VzPjU4LTc1PC9wYWdlcz48dm9sdW1lPjEyPC92b2x1bWU+
PG51bWJlcj4xPC9udW1iZXI+PGVkaXRpb24+MjAxOC8wMS8zMTwvZWRpdGlvbj48a2V5d29yZHM+
PGtleXdvcmQ+Q2hpbmE8L2tleXdvcmQ+PGtleXdvcmQ+ZXBpZGVtaW9sb2d5PC9rZXl3b3JkPjxr
ZXl3b3JkPmZ1bmdpPC9rZXl3b3JkPjxrZXl3b3JkPmluZmVjdGlvbjwva2V5d29yZD48L2tleXdv
cmRzPjxkYXRlcz48eWVhcj4yMDE4PC95ZWFyPjxwdWItZGF0ZXM+PGRhdGU+RmViPC9kYXRlPjwv
cHViLWRhdGVzPjwvZGF0ZXM+PGlzYm4+MjA5NS0wMjI1IChFbGVjdHJvbmljKSYjeEQ7MjA5NS0w
MjE3IChMaW5raW5nKTwvaXNibj48YWNjZXNzaW9uLW51bT4yOTM4MDI5NzwvYWNjZXNzaW9uLW51
bT48dXJscz48cmVsYXRlZC11cmxzPjx1cmw+aHR0cHM6Ly93d3cubmNiaS5ubG0ubmloLmdvdi9w
dWJtZWQvMjkzODAyOTc8L3VybD48L3JlbGF0ZWQtdXJscz48L3VybHM+PGVsZWN0cm9uaWMtcmVz
b3VyY2UtbnVtPjEwLjEwMDcvczExNjg0LTAxNy0wNjAxLTA8L2VsZWN0cm9uaWMtcmVzb3VyY2Ut
bnVtPjwvcmVjb3JkPjwvQ2l0ZT48L0VuZE5vdGU+AGAA
</w:fldData>
        </w:fldChar>
      </w:r>
      <w:r>
        <w:instrText xml:space="preserve"> ADDIN EN.CITE.DATA </w:instrText>
      </w:r>
      <w:r>
        <w:fldChar w:fldCharType="end"/>
      </w:r>
      <w:r>
        <w:fldChar w:fldCharType="separate"/>
      </w:r>
      <w:r>
        <w:t>[1]</w:t>
      </w:r>
      <w:r>
        <w:fldChar w:fldCharType="end"/>
      </w:r>
      <w:r>
        <w:rPr>
          <w:rFonts w:hint="eastAsia"/>
        </w:rPr>
        <w:t>，GM试验在临床症状出现前</w:t>
      </w:r>
      <w:r>
        <w:t>5</w:t>
      </w:r>
      <w:r>
        <w:rPr>
          <w:rFonts w:cs="Arial"/>
        </w:rPr>
        <w:t>–</w:t>
      </w:r>
      <w:r>
        <w:t>8</w:t>
      </w:r>
      <w:r>
        <w:rPr>
          <w:rFonts w:hint="eastAsia"/>
        </w:rPr>
        <w:t xml:space="preserve">天即可检出GM抗原，从而可辅助实现对重症患者等高危人群中侵袭性曲霉菌病的早期诊断和治疗。另一方面，由于G试验和GM试验检测的物质不同，干扰因素不同，二者联合应用可以提高检测的灵敏度，降低假阳性比例，提高诊断结果的正确率 </w:t>
      </w:r>
      <w:r>
        <w:fldChar w:fldCharType="begin"/>
      </w:r>
      <w:r>
        <w:rPr>
          <w:rFonts w:hint="eastAsia"/>
        </w:rPr>
        <w:instrText xml:space="preserve"> ADDIN EN.CITE &lt;EndNote&gt;&lt;Cite&gt;&lt;Author&gt;刘波&lt;/Author&gt;&lt;Year&gt;2016&lt;/Year&gt;&lt;RecNum&gt;18&lt;/RecNum&gt;&lt;DisplayText&gt;[22]&lt;/DisplayText&gt;&lt;record&gt;&lt;rec-number&gt;18&lt;/rec-number&gt;&lt;foreign-keys&gt;&lt;key app="EN" db-id="wpsw5p5parwd99e5z2sp05alf9x5vz9z520s" timestamp="1531195235"&gt;18&lt;/key&gt;&lt;key app="ENWeb" db-id=""&gt;0&lt;/key&gt;&lt;/foreign-keys&gt;&lt;ref-type name="Journal Article"&gt;17&lt;/ref-type&gt;&lt;contributors&gt;&lt;authors&gt;&lt;author&gt;&lt;style face="normal" font="default" charset="134" size="100%"&gt;刘波&lt;/style&gt;&lt;/author&gt;&lt;/authors&gt;&lt;/contributors&gt;&lt;titles&gt;&lt;title&gt;&lt;style face="normal" font="default" size="100%"&gt;G&lt;/style&gt;&lt;style face="normal" font="default" charset="134" size="100%"&gt;试验联合&lt;/style&gt;&lt;style face="normal" font="default" size="100%"&gt;GM&lt;/style&gt;&lt;style face="normal" font="default" charset="134" size="100%"&gt;试验在&lt;/style&gt;&lt;style face="normal" font="default" size="100%"&gt;ICU&lt;/style&gt;&lt;style face="normal" font="default" charset="134" size="100%"&gt;患者侵袭性真菌感染诊断中的应用&lt;/style&gt;&lt;/title&gt;&lt;secondary-title&gt;&lt;style face="normal" font="default" charset="134" size="100%"&gt;齐齐哈尔医学院学报&lt;/style&gt;&lt;/secondary-title&gt;&lt;/titles&gt;&lt;periodical&gt;&lt;full-title&gt;齐齐哈尔医学院学报&lt;/full-title&gt;&lt;/periodical&gt;&lt;pages&gt;4156-4157&lt;/pages&gt;&lt;volume&gt;37&lt;/volume&gt;&lt;number&gt;33&lt;/number&gt;&lt;dates&gt;&lt;year&gt;2016&lt;/year&gt;&lt;/dates&gt;&lt;urls&gt;&lt;/urls&gt;&lt;/record&gt;&lt;/Cite&gt;&lt;/EndNote&gt;</w:instrText>
      </w:r>
      <w:r>
        <w:fldChar w:fldCharType="separate"/>
      </w:r>
      <w:r>
        <w:t>[22]</w:t>
      </w:r>
      <w:r>
        <w:fldChar w:fldCharType="end"/>
      </w:r>
      <w:r>
        <w:rPr>
          <w:rFonts w:hint="eastAsia"/>
        </w:rPr>
        <w:t>。此外，GM试验还可用于监测真菌治疗效果，根据其动态变化指导抗真菌药物的使用。</w:t>
      </w:r>
    </w:p>
    <w:p>
      <w:r>
        <w:rPr>
          <w:rFonts w:hint="eastAsia"/>
        </w:rPr>
        <w:t>此次调研结果显示，隐球菌抗原检测是仅次于G试验和GM试验的第三大常用血清学检测项目，占总送检量的7%。过去2</w:t>
      </w:r>
      <w:r>
        <w:t>0</w:t>
      </w:r>
      <w:r>
        <w:rPr>
          <w:rFonts w:hint="eastAsia"/>
        </w:rPr>
        <w:t xml:space="preserve">年间，隐球菌感染流行率不断升高 </w:t>
      </w:r>
      <w:r>
        <w:fldChar w:fldCharType="begin">
          <w:fldData xml:space="preserve">PEVuZE5vdGU+PENpdGU+PEF1dGhvcj5XdTwvQXV0aG9yPjxZZWFyPjIwMTE8L1llYXI+PFJlY051
bT4yNTwvUmVjTnVtPjxEaXNwbGF5VGV4dD5bMSwgMTJdPC9EaXNwbGF5VGV4dD48cmVjb3JkPjxy
ZWMtbnVtYmVyPjI1PC9yZWMtbnVtYmVyPjxmb3JlaWduLWtleXM+PGtleSBhcHA9IkVOIiBkYi1p
ZD0id3BzdzVwNXBhcndkOTllNXoyc3AwNWFsZjl4NXZ6OXo1MjBzIiB0aW1lc3RhbXA9IjE1MzEy
ODczMjYiPjI1PC9rZXk+PGtleSBhcHA9IkVOV2ViIiBkYi1pZD0iIj4wPC9rZXk+PC9mb3JlaWdu
LWtleXM+PHJlZi10eXBlIG5hbWU9IkpvdXJuYWwgQXJ0aWNsZSI+MTc8L3JlZi10eXBlPjxjb250
cmlidXRvcnM+PGF1dGhvcnM+PGF1dGhvcj5XdSwgUy4gWC48L2F1dGhvcj48YXV0aG9yPkd1bywg
Ti4gUi48L2F1dGhvcj48YXV0aG9yPkxpLCBYLiBGLjwvYXV0aG9yPjxhdXRob3I+TGlhbywgVy4g
US48L2F1dGhvcj48YXV0aG9yPkNoZW4sIE0uPC9hdXRob3I+PGF1dGhvcj5aaGFuZywgUS4gUS48
L2F1dGhvcj48YXV0aG9yPkxpLCBDLiBZLjwvYXV0aG9yPjxhdXRob3I+TGksIFIuIFkuPC9hdXRo
b3I+PGF1dGhvcj5CdWxtZXIsIEcuIFMuPC9hdXRob3I+PGF1dGhvcj5MaSwgRC4gTS48L2F1dGhv
cj48YXV0aG9yPlhpLCBMLiBZLjwvYXV0aG9yPjxhdXRob3I+THUsIFMuPC9hdXRob3I+PGF1dGhv
cj5MaXUsIEIuPC9hdXRob3I+PGF1dGhvcj5aaGVuZywgWS4gQy48L2F1dGhvcj48YXV0aG9yPlJh
biwgWS4gUC48L2F1dGhvcj48YXV0aG9yPkt1YW4sIFkuIFouPC9hdXRob3I+PC9hdXRob3JzPjwv
Y29udHJpYnV0b3JzPjxhdXRoLWFkZHJlc3M+TWVkaWNhbCBNeWNvbG9neSBDdWx0dXJlIENvbGxl
Y3Rpb24gQ2VudHJlLCBDaGluZXNlIE1pbmlzdHJ5IG9mIFB1YmxpYyBIZWFsdGgsIEluc3RpdHV0
ZSBvZiBEZXJtYXRvbG9neSwgQ2hpbmVzZSBBY2FkZW15IG9mIE1lZGljYWwgU2NpZW5jZXMgYW5k
IFBVTUMsIDEyIEppYW5nLXdhbi1taWFvIFJvYWQsIE5hbmppbmcsIDIxMDA0MiBKaWFuZ3N1IFBy
b3ZpbmNlLCBDaGluYS4gd3VzaGFveGkyMDAxQHlhaG9vLmNvbS5jbjwvYXV0aC1hZGRyZXNzPjx0
aXRsZXM+PHRpdGxlPkh1bWFuIHBhdGhvZ2VuaWMgZnVuZ2kgaW4gQ2hpbmEtLWVtZXJnaW5nIHRy
ZW5kcyBmcm9tIG9uZ29pbmcgbmF0aW9uYWwgc3VydmV5IGZvciAxOTg2LCAxOTk2LCBhbmQgMjAw
NjwvdGl0bGU+PHNlY29uZGFyeS10aXRsZT5NeWNvcGF0aG9sb2dpYTwvc2Vjb25kYXJ5LXRpdGxl
PjwvdGl0bGVzPjxwZXJpb2RpY2FsPjxmdWxsLXRpdGxlPk15Y29wYXRob2xvZ2lhPC9mdWxsLXRp
dGxlPjwvcGVyaW9kaWNhbD48cGFnZXM+Mzg3LTkzPC9wYWdlcz48dm9sdW1lPjE3MTwvdm9sdW1l
PjxudW1iZXI+NjwvbnVtYmVyPjxlZGl0aW9uPjIwMTEvMDQvMjI8L2VkaXRpb24+PGtleXdvcmRz
PjxrZXl3b3JkPkFydGhyb2Rlcm1hdGFjZWFlL2lzb2xhdGlvbiAmYW1wOyBwdXJpZmljYXRpb248
L2tleXdvcmQ+PGtleXdvcmQ+QXNwZXJnaWxsdXMvaXNvbGF0aW9uICZhbXA7IHB1cmlmaWNhdGlv
bjwva2V5d29yZD48a2V5d29yZD5DYW5kaWRhIGFsYmljYW5zL2lzb2xhdGlvbiAmYW1wOyBwdXJp
ZmljYXRpb248L2tleXdvcmQ+PGtleXdvcmQ+Q2FuZGlkYSBnbGFicmF0YS9pc29sYXRpb24gJmFt
cDsgcHVyaWZpY2F0aW9uPC9rZXl3b3JkPjxrZXl3b3JkPkNoaW5hL2VwaWRlbWlvbG9neTwva2V5
d29yZD48a2V5d29yZD5IdW1hbnM8L2tleXdvcmQ+PGtleXdvcmQ+TXljb3Nlcy8qZXBpZGVtaW9s
b2d5LyptaWNyb2Jpb2xvZ3k8L2tleXdvcmQ+PGtleXdvcmQ+UmV0cm9zcGVjdGl2ZSBTdHVkaWVz
PC9rZXl3b3JkPjxrZXl3b3JkPlRhaXdhbi9lcGlkZW1pb2xvZ3k8L2tleXdvcmQ+PGtleXdvcmQ+
VHJpY2hvcGh5dG9uL2lzb2xhdGlvbiAmYW1wOyBwdXJpZmljYXRpb248L2tleXdvcmQ+PC9rZXl3
b3Jkcz48ZGF0ZXM+PHllYXI+MjAxMTwveWVhcj48cHViLWRhdGVzPjxkYXRlPkp1bjwvZGF0ZT48
L3B1Yi1kYXRlcz48L2RhdGVzPjxpc2JuPjE1NzMtMDgzMiAoRWxlY3Ryb25pYykmI3hEOzAzMDEt
NDg2WCAoTGlua2luZyk8L2lzYm4+PGFjY2Vzc2lvbi1udW0+MjE1MDk1MTc8L2FjY2Vzc2lvbi1u
dW0+PHVybHM+PHJlbGF0ZWQtdXJscz48dXJsPmh0dHBzOi8vd3d3Lm5jYmkubmxtLm5paC5nb3Yv
cHVibWVkLzIxNTA5NTE3PC91cmw+PC9yZWxhdGVkLXVybHM+PC91cmxzPjxlbGVjdHJvbmljLXJl
c291cmNlLW51bT4xMC4xMDA3L3MxMTA0Ni0wMTEtOTM5OC02PC9lbGVjdHJvbmljLXJlc291cmNl
LW51bT48L3JlY29yZD48L0NpdGU+PENpdGU+PEF1dGhvcj5DaGVuPC9BdXRob3I+PFllYXI+MjAx
ODwvWWVhcj48UmVjTnVtPjEwPC9SZWNOdW0+PHJlY29yZD48cmVjLW51bWJlcj4xMDwvcmVjLW51
bWJlcj48Zm9yZWlnbi1rZXlzPjxrZXkgYXBwPSJFTiIgZGItaWQ9Indwc3c1cDVwYXJ3ZDk5ZTV6
MnNwMDVhbGY5eDV2ejl6NTIwcyIgdGltZXN0YW1wPSIxNTMwMDA5MjIxIj4xMDwva2V5PjxrZXkg
YXBwPSJFTldlYiIgZGItaWQ9IiI+MDwva2V5PjwvZm9yZWlnbi1rZXlzPjxyZWYtdHlwZSBuYW1l
PSJKb3VybmFsIEFydGljbGUiPjE3PC9yZWYtdHlwZT48Y29udHJpYnV0b3JzPjxhdXRob3JzPjxh
dXRob3I+Q2hlbiwgTS48L2F1dGhvcj48YXV0aG9yPlh1LCBZLjwvYXV0aG9yPjxhdXRob3I+SG9u
ZywgTi48L2F1dGhvcj48YXV0aG9yPllhbmcsIFkuPC9hdXRob3I+PGF1dGhvcj5MZWksIFcuPC9h
dXRob3I+PGF1dGhvcj5EdSwgTC48L2F1dGhvcj48YXV0aG9yPlpoYW8sIEouPC9hdXRob3I+PGF1
dGhvcj5MZWksIFguPC9hdXRob3I+PGF1dGhvcj5YaW9uZywgTC48L2F1dGhvcj48YXV0aG9yPkNh
aSwgTC48L2F1dGhvcj48YXV0aG9yPlh1LCBILjwvYXV0aG9yPjxhdXRob3I+UGFuLCBXLjwvYXV0
aG9yPjxhdXRob3I+TGlhbywgVy48L2F1dGhvcj48L2F1dGhvcnM+PC9jb250cmlidXRvcnM+PGF1
dGgtYWRkcmVzcz5EZXBhcnRtZW50IG9mIERlcm1hdG9sb2d5LCBDaGFuZ3poZW5nIEhvc3BpdGFs
LCBTZWNvbmQgTWlsaXRhcnkgTWVkaWNhbCBVbml2ZXJzaXR5LCBTaGFuZ2hhaSwgMjAwMDAzLCBD
aGluYS4mI3hEO1NoYW5naGFpIEtleSBMYWJvcmF0b3J5IG9mIE1vbGVjdWxhciBNZWRpY2FsIE15
Y29sb2d5LCBDaGFuZ3poZW5nIEhvc3BpdGFsLCBTZWNvbmQgTWlsaXRhcnkgTWVkaWNhbCBVbml2
ZXJzaXR5LCBTaGFuZ2hhaSwgMjAwMDAzLCBDaGluYS4mI3hEO0RlcGFydG1lbnQgb2YgRGVybWF0
b2xvZ3ksIFRvbmdqaSBIb3NwaXRhbCwgVG9uZ2ppIFVuaXZlcnNpdHksIFNoYW5naGFpLCAyMDA0
NDIsIENoaW5hLiYjeEQ7RGVwYXJ0bWVudCBvZiBEZXJtYXRvbG9neSwgRGFwaW5nIEhvc3BpdGFs
LCBUaGlyZCBNaWxpdGFyeSBNZWRpY2FsIFVuaXZlcnNpdHksIENob25ncWluZywgNDAwMDQyLCBD
aGluYS4mI3hEO0RlcGFydG1lbnQgb2YgRGVybWF0b2xvZ3ksIHRoZSBQZW9wbGUmYXBvcztzIEhv
c3BpdGFsIG9mIFlhbiZhcG9zO2FuLCBZYW4mYXBvczthbiwgNzE2MDAwLCBDaGluYS4mI3hEO0Rl
cGFydG1lbnQgb2YgRGVybWF0b2xvZ3ksIHRoZSBGaXJzdCBBZmZpbGlhdGVkIEhvc3BpdGFsIG9m
IFhpYW1lbiBVbml2ZXJzaXR5LCBYaWFtZW4sIDM2MTAwMywgQ2hpbmEuJiN4RDtEZXBhcnRtZW50
IG9mIERlcm1hdG9sb2d5LCBTaGFuZ2hhaSBOaW50aCBQZW9wbGUmYXBvcztzIEhvc3BpdGFsLCBT
aGFuZ2hhaSBKaWFvIFRvbmcgVW5pdmVyc2l0eSBTY2hvb2wgb2YgTWVkaWNpbmUsIFNoYW5naGFp
LCAyMDAwMTEsIENoaW5hLiYjeEQ7RGVwYXJ0bWVudCBvZiBEZXJtYXRvbG9neSwgQ2hhbmd6aGVu
ZyBIb3NwaXRhbCwgU2Vjb25kIE1pbGl0YXJ5IE1lZGljYWwgVW5pdmVyc2l0eSwgU2hhbmdoYWks
IDIwMDAwMywgQ2hpbmEuIHBhbndlaWh1YUBtZWRtYWlsLmNvbS5jbi4mI3hEO1NoYW5naGFpIEtl
eSBMYWJvcmF0b3J5IG9mIE1vbGVjdWxhciBNZWRpY2FsIE15Y29sb2d5LCBDaGFuZ3poZW5nIEhv
c3BpdGFsLCBTZWNvbmQgTWlsaXRhcnkgTWVkaWNhbCBVbml2ZXJzaXR5LCBTaGFuZ2hhaSwgMjAw
MDAzLCBDaGluYS4gbGlhb3dhbnFpbmdAc21tdS5lZHUuY24uPC9hdXRoLWFkZHJlc3M+PHRpdGxl
cz48dGl0bGU+RXBpZGVtaW9sb2d5IG9mIGZ1bmdhbCBpbmZlY3Rpb25zIGluIENoaW5hPC90aXRs
ZT48c2Vjb25kYXJ5LXRpdGxlPkZyb250IE1lZDwvc2Vjb25kYXJ5LXRpdGxlPjwvdGl0bGVzPjxw
ZXJpb2RpY2FsPjxmdWxsLXRpdGxlPkZyb250IE1lZDwvZnVsbC10aXRsZT48L3BlcmlvZGljYWw+
PHBhZ2VzPjU4LTc1PC9wYWdlcz48dm9sdW1lPjEyPC92b2x1bWU+PG51bWJlcj4xPC9udW1iZXI+
PGVkaXRpb24+MjAxOC8wMS8zMTwvZWRpdGlvbj48a2V5d29yZHM+PGtleXdvcmQ+Q2hpbmE8L2tl
eXdvcmQ+PGtleXdvcmQ+ZXBpZGVtaW9sb2d5PC9rZXl3b3JkPjxrZXl3b3JkPmZ1bmdpPC9rZXl3
b3JkPjxrZXl3b3JkPmluZmVjdGlvbjwva2V5d29yZD48L2tleXdvcmRzPjxkYXRlcz48eWVhcj4y
MDE4PC95ZWFyPjxwdWItZGF0ZXM+PGRhdGU+RmViPC9kYXRlPjwvcHViLWRhdGVzPjwvZGF0ZXM+
PGlzYm4+MjA5NS0wMjI1IChFbGVjdHJvbmljKSYjeEQ7MjA5NS0wMjE3IChMaW5raW5nKTwvaXNi
bj48YWNjZXNzaW9uLW51bT4yOTM4MDI5NzwvYWNjZXNzaW9uLW51bT48dXJscz48cmVsYXRlZC11
cmxzPjx1cmw+aHR0cHM6Ly93d3cubmNiaS5ubG0ubmloLmdvdi9wdWJtZWQvMjkzODAyOTc8L3Vy
bD48L3JlbGF0ZWQtdXJscz48L3VybHM+PGVsZWN0cm9uaWMtcmVzb3VyY2UtbnVtPjEwLjEwMDcv
czExNjg0LTAxNy0wNjAxLTA8L2VsZWN0cm9uaWMtcmVzb3VyY2UtbnVtPjwvcmVjb3JkPjwvQ2l0
ZT48L0VuZE5vdGU+AGAA
</w:fldData>
        </w:fldChar>
      </w:r>
      <w:r>
        <w:instrText xml:space="preserve"> ADDIN EN.CITE </w:instrText>
      </w:r>
      <w:r>
        <w:fldChar w:fldCharType="begin">
          <w:fldData xml:space="preserve">PEVuZE5vdGU+PENpdGU+PEF1dGhvcj5XdTwvQXV0aG9yPjxZZWFyPjIwMTE8L1llYXI+PFJlY051
bT4yNTwvUmVjTnVtPjxEaXNwbGF5VGV4dD5bMSwgMTJdPC9EaXNwbGF5VGV4dD48cmVjb3JkPjxy
ZWMtbnVtYmVyPjI1PC9yZWMtbnVtYmVyPjxmb3JlaWduLWtleXM+PGtleSBhcHA9IkVOIiBkYi1p
ZD0id3BzdzVwNXBhcndkOTllNXoyc3AwNWFsZjl4NXZ6OXo1MjBzIiB0aW1lc3RhbXA9IjE1MzEy
ODczMjYiPjI1PC9rZXk+PGtleSBhcHA9IkVOV2ViIiBkYi1pZD0iIj4wPC9rZXk+PC9mb3JlaWdu
LWtleXM+PHJlZi10eXBlIG5hbWU9IkpvdXJuYWwgQXJ0aWNsZSI+MTc8L3JlZi10eXBlPjxjb250
cmlidXRvcnM+PGF1dGhvcnM+PGF1dGhvcj5XdSwgUy4gWC48L2F1dGhvcj48YXV0aG9yPkd1bywg
Ti4gUi48L2F1dGhvcj48YXV0aG9yPkxpLCBYLiBGLjwvYXV0aG9yPjxhdXRob3I+TGlhbywgVy4g
US48L2F1dGhvcj48YXV0aG9yPkNoZW4sIE0uPC9hdXRob3I+PGF1dGhvcj5aaGFuZywgUS4gUS48
L2F1dGhvcj48YXV0aG9yPkxpLCBDLiBZLjwvYXV0aG9yPjxhdXRob3I+TGksIFIuIFkuPC9hdXRo
b3I+PGF1dGhvcj5CdWxtZXIsIEcuIFMuPC9hdXRob3I+PGF1dGhvcj5MaSwgRC4gTS48L2F1dGhv
cj48YXV0aG9yPlhpLCBMLiBZLjwvYXV0aG9yPjxhdXRob3I+THUsIFMuPC9hdXRob3I+PGF1dGhv
cj5MaXUsIEIuPC9hdXRob3I+PGF1dGhvcj5aaGVuZywgWS4gQy48L2F1dGhvcj48YXV0aG9yPlJh
biwgWS4gUC48L2F1dGhvcj48YXV0aG9yPkt1YW4sIFkuIFouPC9hdXRob3I+PC9hdXRob3JzPjwv
Y29udHJpYnV0b3JzPjxhdXRoLWFkZHJlc3M+TWVkaWNhbCBNeWNvbG9neSBDdWx0dXJlIENvbGxl
Y3Rpb24gQ2VudHJlLCBDaGluZXNlIE1pbmlzdHJ5IG9mIFB1YmxpYyBIZWFsdGgsIEluc3RpdHV0
ZSBvZiBEZXJtYXRvbG9neSwgQ2hpbmVzZSBBY2FkZW15IG9mIE1lZGljYWwgU2NpZW5jZXMgYW5k
IFBVTUMsIDEyIEppYW5nLXdhbi1taWFvIFJvYWQsIE5hbmppbmcsIDIxMDA0MiBKaWFuZ3N1IFBy
b3ZpbmNlLCBDaGluYS4gd3VzaGFveGkyMDAxQHlhaG9vLmNvbS5jbjwvYXV0aC1hZGRyZXNzPjx0
aXRsZXM+PHRpdGxlPkh1bWFuIHBhdGhvZ2VuaWMgZnVuZ2kgaW4gQ2hpbmEtLWVtZXJnaW5nIHRy
ZW5kcyBmcm9tIG9uZ29pbmcgbmF0aW9uYWwgc3VydmV5IGZvciAxOTg2LCAxOTk2LCBhbmQgMjAw
NjwvdGl0bGU+PHNlY29uZGFyeS10aXRsZT5NeWNvcGF0aG9sb2dpYTwvc2Vjb25kYXJ5LXRpdGxl
PjwvdGl0bGVzPjxwZXJpb2RpY2FsPjxmdWxsLXRpdGxlPk15Y29wYXRob2xvZ2lhPC9mdWxsLXRp
dGxlPjwvcGVyaW9kaWNhbD48cGFnZXM+Mzg3LTkzPC9wYWdlcz48dm9sdW1lPjE3MTwvdm9sdW1l
PjxudW1iZXI+NjwvbnVtYmVyPjxlZGl0aW9uPjIwMTEvMDQvMjI8L2VkaXRpb24+PGtleXdvcmRz
PjxrZXl3b3JkPkFydGhyb2Rlcm1hdGFjZWFlL2lzb2xhdGlvbiAmYW1wOyBwdXJpZmljYXRpb248
L2tleXdvcmQ+PGtleXdvcmQ+QXNwZXJnaWxsdXMvaXNvbGF0aW9uICZhbXA7IHB1cmlmaWNhdGlv
bjwva2V5d29yZD48a2V5d29yZD5DYW5kaWRhIGFsYmljYW5zL2lzb2xhdGlvbiAmYW1wOyBwdXJp
ZmljYXRpb248L2tleXdvcmQ+PGtleXdvcmQ+Q2FuZGlkYSBnbGFicmF0YS9pc29sYXRpb24gJmFt
cDsgcHVyaWZpY2F0aW9uPC9rZXl3b3JkPjxrZXl3b3JkPkNoaW5hL2VwaWRlbWlvbG9neTwva2V5
d29yZD48a2V5d29yZD5IdW1hbnM8L2tleXdvcmQ+PGtleXdvcmQ+TXljb3Nlcy8qZXBpZGVtaW9s
b2d5LyptaWNyb2Jpb2xvZ3k8L2tleXdvcmQ+PGtleXdvcmQ+UmV0cm9zcGVjdGl2ZSBTdHVkaWVz
PC9rZXl3b3JkPjxrZXl3b3JkPlRhaXdhbi9lcGlkZW1pb2xvZ3k8L2tleXdvcmQ+PGtleXdvcmQ+
VHJpY2hvcGh5dG9uL2lzb2xhdGlvbiAmYW1wOyBwdXJpZmljYXRpb248L2tleXdvcmQ+PC9rZXl3
b3Jkcz48ZGF0ZXM+PHllYXI+MjAxMTwveWVhcj48cHViLWRhdGVzPjxkYXRlPkp1bjwvZGF0ZT48
L3B1Yi1kYXRlcz48L2RhdGVzPjxpc2JuPjE1NzMtMDgzMiAoRWxlY3Ryb25pYykmI3hEOzAzMDEt
NDg2WCAoTGlua2luZyk8L2lzYm4+PGFjY2Vzc2lvbi1udW0+MjE1MDk1MTc8L2FjY2Vzc2lvbi1u
dW0+PHVybHM+PHJlbGF0ZWQtdXJscz48dXJsPmh0dHBzOi8vd3d3Lm5jYmkubmxtLm5paC5nb3Yv
cHVibWVkLzIxNTA5NTE3PC91cmw+PC9yZWxhdGVkLXVybHM+PC91cmxzPjxlbGVjdHJvbmljLXJl
c291cmNlLW51bT4xMC4xMDA3L3MxMTA0Ni0wMTEtOTM5OC02PC9lbGVjdHJvbmljLXJlc291cmNl
LW51bT48L3JlY29yZD48L0NpdGU+PENpdGU+PEF1dGhvcj5DaGVuPC9BdXRob3I+PFllYXI+MjAx
ODwvWWVhcj48UmVjTnVtPjEwPC9SZWNOdW0+PHJlY29yZD48cmVjLW51bWJlcj4xMDwvcmVjLW51
bWJlcj48Zm9yZWlnbi1rZXlzPjxrZXkgYXBwPSJFTiIgZGItaWQ9Indwc3c1cDVwYXJ3ZDk5ZTV6
MnNwMDVhbGY5eDV2ejl6NTIwcyIgdGltZXN0YW1wPSIxNTMwMDA5MjIxIj4xMDwva2V5PjxrZXkg
YXBwPSJFTldlYiIgZGItaWQ9IiI+MDwva2V5PjwvZm9yZWlnbi1rZXlzPjxyZWYtdHlwZSBuYW1l
PSJKb3VybmFsIEFydGljbGUiPjE3PC9yZWYtdHlwZT48Y29udHJpYnV0b3JzPjxhdXRob3JzPjxh
dXRob3I+Q2hlbiwgTS48L2F1dGhvcj48YXV0aG9yPlh1LCBZLjwvYXV0aG9yPjxhdXRob3I+SG9u
ZywgTi48L2F1dGhvcj48YXV0aG9yPllhbmcsIFkuPC9hdXRob3I+PGF1dGhvcj5MZWksIFcuPC9h
dXRob3I+PGF1dGhvcj5EdSwgTC48L2F1dGhvcj48YXV0aG9yPlpoYW8sIEouPC9hdXRob3I+PGF1
dGhvcj5MZWksIFguPC9hdXRob3I+PGF1dGhvcj5YaW9uZywgTC48L2F1dGhvcj48YXV0aG9yPkNh
aSwgTC48L2F1dGhvcj48YXV0aG9yPlh1LCBILjwvYXV0aG9yPjxhdXRob3I+UGFuLCBXLjwvYXV0
aG9yPjxhdXRob3I+TGlhbywgVy48L2F1dGhvcj48L2F1dGhvcnM+PC9jb250cmlidXRvcnM+PGF1
dGgtYWRkcmVzcz5EZXBhcnRtZW50IG9mIERlcm1hdG9sb2d5LCBDaGFuZ3poZW5nIEhvc3BpdGFs
LCBTZWNvbmQgTWlsaXRhcnkgTWVkaWNhbCBVbml2ZXJzaXR5LCBTaGFuZ2hhaSwgMjAwMDAzLCBD
aGluYS4mI3hEO1NoYW5naGFpIEtleSBMYWJvcmF0b3J5IG9mIE1vbGVjdWxhciBNZWRpY2FsIE15
Y29sb2d5LCBDaGFuZ3poZW5nIEhvc3BpdGFsLCBTZWNvbmQgTWlsaXRhcnkgTWVkaWNhbCBVbml2
ZXJzaXR5LCBTaGFuZ2hhaSwgMjAwMDAzLCBDaGluYS4mI3hEO0RlcGFydG1lbnQgb2YgRGVybWF0
b2xvZ3ksIFRvbmdqaSBIb3NwaXRhbCwgVG9uZ2ppIFVuaXZlcnNpdHksIFNoYW5naGFpLCAyMDA0
NDIsIENoaW5hLiYjeEQ7RGVwYXJ0bWVudCBvZiBEZXJtYXRvbG9neSwgRGFwaW5nIEhvc3BpdGFs
LCBUaGlyZCBNaWxpdGFyeSBNZWRpY2FsIFVuaXZlcnNpdHksIENob25ncWluZywgNDAwMDQyLCBD
aGluYS4mI3hEO0RlcGFydG1lbnQgb2YgRGVybWF0b2xvZ3ksIHRoZSBQZW9wbGUmYXBvcztzIEhv
c3BpdGFsIG9mIFlhbiZhcG9zO2FuLCBZYW4mYXBvczthbiwgNzE2MDAwLCBDaGluYS4mI3hEO0Rl
cGFydG1lbnQgb2YgRGVybWF0b2xvZ3ksIHRoZSBGaXJzdCBBZmZpbGlhdGVkIEhvc3BpdGFsIG9m
IFhpYW1lbiBVbml2ZXJzaXR5LCBYaWFtZW4sIDM2MTAwMywgQ2hpbmEuJiN4RDtEZXBhcnRtZW50
IG9mIERlcm1hdG9sb2d5LCBTaGFuZ2hhaSBOaW50aCBQZW9wbGUmYXBvcztzIEhvc3BpdGFsLCBT
aGFuZ2hhaSBKaWFvIFRvbmcgVW5pdmVyc2l0eSBTY2hvb2wgb2YgTWVkaWNpbmUsIFNoYW5naGFp
LCAyMDAwMTEsIENoaW5hLiYjeEQ7RGVwYXJ0bWVudCBvZiBEZXJtYXRvbG9neSwgQ2hhbmd6aGVu
ZyBIb3NwaXRhbCwgU2Vjb25kIE1pbGl0YXJ5IE1lZGljYWwgVW5pdmVyc2l0eSwgU2hhbmdoYWks
IDIwMDAwMywgQ2hpbmEuIHBhbndlaWh1YUBtZWRtYWlsLmNvbS5jbi4mI3hEO1NoYW5naGFpIEtl
eSBMYWJvcmF0b3J5IG9mIE1vbGVjdWxhciBNZWRpY2FsIE15Y29sb2d5LCBDaGFuZ3poZW5nIEhv
c3BpdGFsLCBTZWNvbmQgTWlsaXRhcnkgTWVkaWNhbCBVbml2ZXJzaXR5LCBTaGFuZ2hhaSwgMjAw
MDAzLCBDaGluYS4gbGlhb3dhbnFpbmdAc21tdS5lZHUuY24uPC9hdXRoLWFkZHJlc3M+PHRpdGxl
cz48dGl0bGU+RXBpZGVtaW9sb2d5IG9mIGZ1bmdhbCBpbmZlY3Rpb25zIGluIENoaW5hPC90aXRs
ZT48c2Vjb25kYXJ5LXRpdGxlPkZyb250IE1lZDwvc2Vjb25kYXJ5LXRpdGxlPjwvdGl0bGVzPjxw
ZXJpb2RpY2FsPjxmdWxsLXRpdGxlPkZyb250IE1lZDwvZnVsbC10aXRsZT48L3BlcmlvZGljYWw+
PHBhZ2VzPjU4LTc1PC9wYWdlcz48dm9sdW1lPjEyPC92b2x1bWU+PG51bWJlcj4xPC9udW1iZXI+
PGVkaXRpb24+MjAxOC8wMS8zMTwvZWRpdGlvbj48a2V5d29yZHM+PGtleXdvcmQ+Q2hpbmE8L2tl
eXdvcmQ+PGtleXdvcmQ+ZXBpZGVtaW9sb2d5PC9rZXl3b3JkPjxrZXl3b3JkPmZ1bmdpPC9rZXl3
b3JkPjxrZXl3b3JkPmluZmVjdGlvbjwva2V5d29yZD48L2tleXdvcmRzPjxkYXRlcz48eWVhcj4y
MDE4PC95ZWFyPjxwdWItZGF0ZXM+PGRhdGU+RmViPC9kYXRlPjwvcHViLWRhdGVzPjwvZGF0ZXM+
PGlzYm4+MjA5NS0wMjI1IChFbGVjdHJvbmljKSYjeEQ7MjA5NS0wMjE3IChMaW5raW5nKTwvaXNi
bj48YWNjZXNzaW9uLW51bT4yOTM4MDI5NzwvYWNjZXNzaW9uLW51bT48dXJscz48cmVsYXRlZC11
cmxzPjx1cmw+aHR0cHM6Ly93d3cubmNiaS5ubG0ubmloLmdvdi9wdWJtZWQvMjkzODAyOTc8L3Vy
bD48L3JlbGF0ZWQtdXJscz48L3VybHM+PGVsZWN0cm9uaWMtcmVzb3VyY2UtbnVtPjEwLjEwMDcv
czExNjg0LTAxNy0wNjAxLTA8L2VsZWN0cm9uaWMtcmVzb3VyY2UtbnVtPjwvcmVjb3JkPjwvQ2l0
ZT48L0VuZE5vdGU+AGAA
</w:fldData>
        </w:fldChar>
      </w:r>
      <w:r>
        <w:instrText xml:space="preserve"> ADDIN EN.CITE.DATA </w:instrText>
      </w:r>
      <w:r>
        <w:fldChar w:fldCharType="end"/>
      </w:r>
      <w:r>
        <w:fldChar w:fldCharType="separate"/>
      </w:r>
      <w:r>
        <w:t>[1, 12]</w:t>
      </w:r>
      <w:r>
        <w:fldChar w:fldCharType="end"/>
      </w:r>
      <w:r>
        <w:rPr>
          <w:rFonts w:hint="eastAsia"/>
        </w:rPr>
        <w:t xml:space="preserve">，已成为我国侵袭性酵母菌感染中第二大病原体 </w:t>
      </w:r>
      <w:r>
        <w:fldChar w:fldCharType="begin">
          <w:fldData xml:space="preserve">PEVuZE5vdGU+PENpdGU+PEF1dGhvcj5YaWFvPC9BdXRob3I+PFllYXI+MjAxNTwvWWVhcj48UmVj
TnVtPjg8L1JlY051bT48RGlzcGxheVRleHQ+WzEzXTwvRGlzcGxheVRleHQ+PHJlY29yZD48cmVj
LW51bWJlcj44PC9yZWMtbnVtYmVyPjxmb3JlaWduLWtleXM+PGtleSBhcHA9IkVOIiBkYi1pZD0i
d3BzdzVwNXBhcndkOTllNXoyc3AwNWFsZjl4NXZ6OXo1MjBzIiB0aW1lc3RhbXA9IjE1MzAwMDkx
ODUiPjg8L2tleT48a2V5IGFwcD0iRU5XZWIiIGRiLWlkPSIiPjA8L2tleT48L2ZvcmVpZ24ta2V5
cz48cmVmLXR5cGUgbmFtZT0iSm91cm5hbCBBcnRpY2xlIj4xNzwvcmVmLXR5cGU+PGNvbnRyaWJ1
dG9ycz48YXV0aG9ycz48YXV0aG9yPlhpYW8sIE0uPC9hdXRob3I+PGF1dGhvcj5GYW4sIFguPC9h
dXRob3I+PGF1dGhvcj5DaGVuLCBTLiBDLjwvYXV0aG9yPjxhdXRob3I+V2FuZywgSC48L2F1dGhv
cj48YXV0aG9yPlN1biwgWi4gWS48L2F1dGhvcj48YXV0aG9yPkxpYW8sIEsuPC9hdXRob3I+PGF1
dGhvcj5DaGVuLCBTLiBMLjwvYXV0aG9yPjxhdXRob3I+WWFuLCBZLjwvYXV0aG9yPjxhdXRob3I+
S2FuZywgTS48L2F1dGhvcj48YXV0aG9yPkh1LCBaLiBELjwvYXV0aG9yPjxhdXRob3I+Q2h1LCBZ
LiBaLjwvYXV0aG9yPjxhdXRob3I+SHUsIFQuIFMuPC9hdXRob3I+PGF1dGhvcj5OaSwgWS4gWC48
L2F1dGhvcj48YXV0aG9yPlpvdSwgRy4gTC48L2F1dGhvcj48YXV0aG9yPktvbmcsIEYuPC9hdXRo
b3I+PGF1dGhvcj5YdSwgWS4gQy48L2F1dGhvcj48L2F1dGhvcnM+PC9jb250cmlidXRvcnM+PGF1
dGgtYWRkcmVzcz5EZXBhcnRtZW50IG9mIENsaW5pY2FsIExhYm9yYXRvcnksIFBla2luZyBVbmlv
biBNZWRpY2FsIENvbGxlZ2UgSG9zcGl0YWwsIEJlaWppbmcsIENoaW5hLiYjeEQ7RGVwYXJ0bWVu
dCBvZiBDbGluaWNhbCBMYWJvcmF0b3J5LCBQZWtpbmcgVW5pb24gTWVkaWNhbCBDb2xsZWdlIEhv
c3BpdGFsLCBCZWlqaW5nLCBDaGluYSBHcmFkdWF0ZSBTY2hvb2wsIFBla2luZyBVbmlvbiBNZWRp
Y2FsIENvbGxlZ2UsIENoaW5lc2UgQWNhZGVteSBvZiBNZWRpY2FsIFNjaWVuY2VzLCBCZWlqaW5n
LCBDaGluYS4mI3hEO0NlbnRyZSBmb3IgSW5mZWN0aW91cyBEaXNlYXNlcyBhbmQgTWljcm9iaW9s
b2d5IExhYm9yYXRvcnkgU2VydmljZXMsIElDUE1SIC0gUGF0aG9sb2d5IFdlc3QsIFdlc3RtZWFk
IEhvc3BpdGFsLCBVbml2ZXJzaXR5IG9mIFN5ZG5leSwgTmV3IFNvdXRoIFdhbGVzLCBBdXN0cmFs
aWEuJiN4RDtEZXBhcnRtZW50IG9mIENsaW5pY2FsIExhYm9yYXRvcnksIFRvbmdqaSBIb3NwaXRh
bCwgVG9uZ2ppIE1lZGljYWwgQ29sbGVnZSwgSHVhemhvbmcgVW5pdmVyc2l0eSBvZiBTY2llbmNl
IGFuZCBUZWNobm9sb2d5LCBXdWhhbiwgQ2hpbmEuJiN4RDtEZXBhcnRtZW50IG9mIENsaW5pY2Fs
IExhYm9yYXRvcnksIFRoZSBGaXJzdCBBZmZpbGlhdGVkIEhvc3BpdGFsIG9mIFN1biBZYXQtU2Vu
IFVuaXZlcnNpdHksIEd1YW5nemhvdSwgQ2hpbmEuJiN4RDtEZXBhcnRtZW50IG9mIENsaW5pY2Fs
IExhYm9yYXRvcnksIFRoZSBGaXJzdCBBZmZpbGlhdGVkIEhvc3BpdGFsIG9mIEhhcmJpbiBNZWRp
Y2FsIFVuaXZlcnNpdHksIEhhcmJpbiwgQ2hpbmEuJiN4RDtEZXBhcnRtZW50IG9mIENsaW5pY2Fs
IExhYm9yYXRvcnksIFBla2luZyBVbml2ZXJzaXR5IEZpcnN0IEhvc3BpdGFsLCBCZWlqaW5nLCBD
aGluYS4mI3hEO0xhYm9yYXRvcnkgb2YgQ2xpbmljYWwgTWljcm9iaW9sb2d5LCBXZXN0IENoaW5h
IEhvc3BpdGFsLCBTaWNodWFuIFVuaXZlcnNpdHksIENoZW5nZHUsIENoaW5hLiYjeEQ7RGVwYXJ0
bWVudCBvZiBDbGluaWNhbCBMYWJvcmF0b3J5LCBUaWFuamluIE1lZGljYWwgVW5pdmVyc2l0eSBH
ZW5lcmFsIEhvc3BpdGFsLCBUaWFuamluLCBDaGluYS4mI3hEO0RlcGFydG1lbnQgb2YgQ2xpbmlj
YWwgTGFib3JhdG9yeSwgVGhlIEZpcnN0IEhvc3BpdGFsIG9mIENoaW5hIE1lZGljYWwgVW5pdmVy
c2l0eSwgU2hlbnlhbmcsIENoaW5hLiYjeEQ7RGVwYXJ0bWVudCBvZiBDbGluaWNhbCBMYWJvcmF0
b3J5LCBUaGUgUGVvcGxlJmFwb3M7cyBIb3NwaXRhbCBvZiBMaWFvbmluZyBQcm92aW5jZSwgU2hl
bnlhbmcsIENoaW5hLiYjeEQ7RGVwYXJ0bWVudCBvZiBDbGluaWNhbCBNaWNyb2Jpb2xvZ3kgYW5k
IEluZmVjdGlvbiBDb250cm9sLCBSdWlqaW4gSG9zcGl0YWwgQWZmaWxpYXRlZCB0byBTY2hvb2wg
b2YgTWVkaWNpbmUsIFNoYW5naGFpIEppYW90b25nIFVuaXZlcnNpdHksIFNoYW5naGFpLCBDaGlu
YS4mI3hEO0RlcGFydG1lbnQgb2YgQ2xpbmljYWwgTGFib3JhdG9yeSwgVGhlIEZvdXJ0aCBBZmZp
bGlhdGVkIEhvc3BpdGFsIG9mIEhhcmJpbiBNZWRpY2FsIFVuaXZlcnNpdHksIEhhcmJpbiwgQ2hp
bmEuJiN4RDtEZXBhcnRtZW50IG9mIENsaW5pY2FsIExhYm9yYXRvcnksIFBla2luZyBVbmlvbiBN
ZWRpY2FsIENvbGxlZ2UgSG9zcGl0YWwsIEJlaWppbmcsIENoaW5hIHh5Y3B1bWNoQDEzOS5jb20u
PC9hdXRoLWFkZHJlc3M+PHRpdGxlcz48dGl0bGU+QW50aWZ1bmdhbCBzdXNjZXB0aWJpbGl0aWVz
IG9mIENhbmRpZGEgZ2xhYnJhdGEgc3BlY2llcyBjb21wbGV4LCBDYW5kaWRhIGtydXNlaSwgQ2Fu
ZGlkYSBwYXJhcHNpbG9zaXMgc3BlY2llcyBjb21wbGV4IGFuZCBDYW5kaWRhIHRyb3BpY2FsaXMg
Y2F1c2luZyBpbnZhc2l2ZSBjYW5kaWRpYXNpcyBpbiBDaGluYTogMyB5ZWFyIG5hdGlvbmFsIHN1
cnZlaWxsYW5jZTwvdGl0bGU+PHNlY29uZGFyeS10aXRsZT5KIEFudGltaWNyb2IgQ2hlbW90aGVy
PC9zZWNvbmRhcnktdGl0bGU+PC90aXRsZXM+PHBlcmlvZGljYWw+PGZ1bGwtdGl0bGU+SiBBbnRp
bWljcm9iIENoZW1vdGhlcjwvZnVsbC10aXRsZT48L3BlcmlvZGljYWw+PHBhZ2VzPjgwMi0xMDwv
cGFnZXM+PHZvbHVtZT43MDwvdm9sdW1lPjxudW1iZXI+MzwvbnVtYmVyPjxlZGl0aW9uPjIwMTQv
MTIvMDU8L2VkaXRpb24+PGtleXdvcmRzPjxrZXl3b3JkPkFudGlmdW5nYWwgQWdlbnRzLypwaGFy
bWFjb2xvZ3k8L2tleXdvcmQ+PGtleXdvcmQ+Q2FuZGlkYS9jbGFzc2lmaWNhdGlvbi8qZHJ1ZyBl
ZmZlY3RzL2lzb2xhdGlvbiAmYW1wOyBwdXJpZmljYXRpb248L2tleXdvcmQ+PGtleXdvcmQ+Q2Fu
ZGlkaWFzaXMsIEludmFzaXZlL2VwaWRlbWlvbG9neS8qbWljcm9iaW9sb2d5PC9rZXl3b3JkPjxr
ZXl3b3JkPkNoaW5hL2VwaWRlbWlvbG9neTwva2V5d29yZD48a2V5d29yZD5EcnVnIFJlc2lzdGFu
Y2UsIEZ1bmdhbDwva2V5d29yZD48a2V5d29yZD5FcGlkZW1pb2xvZ2ljYWwgTW9uaXRvcmluZzwv
a2V5d29yZD48a2V5d29yZD5Ib3NwaXRhbHM8L2tleXdvcmQ+PGtleXdvcmQ+SHVtYW5zPC9rZXl3
b3JkPjxrZXl3b3JkPk1pY3JvYmlhbCBTZW5zaXRpdml0eSBUZXN0czwva2V5d29yZD48a2V5d29y
ZD5QcmV2YWxlbmNlPC9rZXl3b3JkPjxrZXl3b3JkPlByb3NwZWN0aXZlIFN0dWRpZXM8L2tleXdv
cmQ+PGtleXdvcmQ+U2VxdWVuY2UgQW5hbHlzaXMsIEROQTwva2V5d29yZD48a2V5d29yZD5TcGVj
dHJvbWV0cnksIE1hc3MsIE1hdHJpeC1Bc3Npc3RlZCBMYXNlciBEZXNvcnB0aW9uLUlvbml6YXRp
b248L2tleXdvcmQ+PGtleXdvcmQ+Qy4gZ2xhYnJhdGEgc3BlY2llcyBjb21wbGV4PC9rZXl3b3Jk
PjxrZXl3b3JkPkMuIGtydXNlaTwva2V5d29yZD48a2V5d29yZD5DLiBwYXJhcHNpbG9zaXMgc3Bl
Y2llcyBjb21wbGV4PC9rZXl3b3JkPjxrZXl3b3JkPkMuIHRyb3BpY2FsaXM8L2tleXdvcmQ+PGtl
eXdvcmQ+Q2hpbmEgSG9zcGl0YWwgSW52YXNpdmUgRnVuZ2FsIFN1cnZlaWxsYW5jZSBOZXQgKENI
SUYtTkVUKTwva2V5d29yZD48a2V5d29yZD5hbnRpZnVuZ2FsIHN1c2NlcHRpYmlsaXR5PC9rZXl3
b3JkPjxrZXl3b3JkPm5vbi1hbGJpY2FucyBDYW5kaWRhIHNwZWNpZXMvc3BlY2llcyBjb21wbGV4
ZXM8L2tleXdvcmQ+PC9rZXl3b3Jkcz48ZGF0ZXM+PHllYXI+MjAxNTwveWVhcj48cHViLWRhdGVz
PjxkYXRlPk1hcjwvZGF0ZT48L3B1Yi1kYXRlcz48L2RhdGVzPjxpc2JuPjE0NjAtMjA5MSAoRWxl
Y3Ryb25pYykmI3hEOzAzMDUtNzQ1MyAoTGlua2luZyk8L2lzYm4+PGFjY2Vzc2lvbi1udW0+MjU0
NzMwMjc8L2FjY2Vzc2lvbi1udW0+PHVybHM+PHJlbGF0ZWQtdXJscz48dXJsPmh0dHBzOi8vd3d3
Lm5jYmkubmxtLm5paC5nb3YvcHVibWVkLzI1NDczMDI3PC91cmw+PC9yZWxhdGVkLXVybHM+PC91
cmxzPjxlbGVjdHJvbmljLXJlc291cmNlLW51bT4xMC4xMDkzL2phYy9ka3U0NjA8L2VsZWN0cm9u
aWMtcmVzb3VyY2UtbnVtPjwvcmVjb3JkPjwvQ2l0ZT48L0VuZE5vdGU+AGAA
</w:fldData>
        </w:fldChar>
      </w:r>
      <w:r>
        <w:instrText xml:space="preserve"> ADDIN EN.CITE </w:instrText>
      </w:r>
      <w:r>
        <w:fldChar w:fldCharType="begin">
          <w:fldData xml:space="preserve">PEVuZE5vdGU+PENpdGU+PEF1dGhvcj5YaWFvPC9BdXRob3I+PFllYXI+MjAxNTwvWWVhcj48UmVj
TnVtPjg8L1JlY051bT48RGlzcGxheVRleHQ+WzEzXTwvRGlzcGxheVRleHQ+PHJlY29yZD48cmVj
LW51bWJlcj44PC9yZWMtbnVtYmVyPjxmb3JlaWduLWtleXM+PGtleSBhcHA9IkVOIiBkYi1pZD0i
d3BzdzVwNXBhcndkOTllNXoyc3AwNWFsZjl4NXZ6OXo1MjBzIiB0aW1lc3RhbXA9IjE1MzAwMDkx
ODUiPjg8L2tleT48a2V5IGFwcD0iRU5XZWIiIGRiLWlkPSIiPjA8L2tleT48L2ZvcmVpZ24ta2V5
cz48cmVmLXR5cGUgbmFtZT0iSm91cm5hbCBBcnRpY2xlIj4xNzwvcmVmLXR5cGU+PGNvbnRyaWJ1
dG9ycz48YXV0aG9ycz48YXV0aG9yPlhpYW8sIE0uPC9hdXRob3I+PGF1dGhvcj5GYW4sIFguPC9h
dXRob3I+PGF1dGhvcj5DaGVuLCBTLiBDLjwvYXV0aG9yPjxhdXRob3I+V2FuZywgSC48L2F1dGhv
cj48YXV0aG9yPlN1biwgWi4gWS48L2F1dGhvcj48YXV0aG9yPkxpYW8sIEsuPC9hdXRob3I+PGF1
dGhvcj5DaGVuLCBTLiBMLjwvYXV0aG9yPjxhdXRob3I+WWFuLCBZLjwvYXV0aG9yPjxhdXRob3I+
S2FuZywgTS48L2F1dGhvcj48YXV0aG9yPkh1LCBaLiBELjwvYXV0aG9yPjxhdXRob3I+Q2h1LCBZ
LiBaLjwvYXV0aG9yPjxhdXRob3I+SHUsIFQuIFMuPC9hdXRob3I+PGF1dGhvcj5OaSwgWS4gWC48
L2F1dGhvcj48YXV0aG9yPlpvdSwgRy4gTC48L2F1dGhvcj48YXV0aG9yPktvbmcsIEYuPC9hdXRo
b3I+PGF1dGhvcj5YdSwgWS4gQy48L2F1dGhvcj48L2F1dGhvcnM+PC9jb250cmlidXRvcnM+PGF1
dGgtYWRkcmVzcz5EZXBhcnRtZW50IG9mIENsaW5pY2FsIExhYm9yYXRvcnksIFBla2luZyBVbmlv
biBNZWRpY2FsIENvbGxlZ2UgSG9zcGl0YWwsIEJlaWppbmcsIENoaW5hLiYjeEQ7RGVwYXJ0bWVu
dCBvZiBDbGluaWNhbCBMYWJvcmF0b3J5LCBQZWtpbmcgVW5pb24gTWVkaWNhbCBDb2xsZWdlIEhv
c3BpdGFsLCBCZWlqaW5nLCBDaGluYSBHcmFkdWF0ZSBTY2hvb2wsIFBla2luZyBVbmlvbiBNZWRp
Y2FsIENvbGxlZ2UsIENoaW5lc2UgQWNhZGVteSBvZiBNZWRpY2FsIFNjaWVuY2VzLCBCZWlqaW5n
LCBDaGluYS4mI3hEO0NlbnRyZSBmb3IgSW5mZWN0aW91cyBEaXNlYXNlcyBhbmQgTWljcm9iaW9s
b2d5IExhYm9yYXRvcnkgU2VydmljZXMsIElDUE1SIC0gUGF0aG9sb2d5IFdlc3QsIFdlc3RtZWFk
IEhvc3BpdGFsLCBVbml2ZXJzaXR5IG9mIFN5ZG5leSwgTmV3IFNvdXRoIFdhbGVzLCBBdXN0cmFs
aWEuJiN4RDtEZXBhcnRtZW50IG9mIENsaW5pY2FsIExhYm9yYXRvcnksIFRvbmdqaSBIb3NwaXRh
bCwgVG9uZ2ppIE1lZGljYWwgQ29sbGVnZSwgSHVhemhvbmcgVW5pdmVyc2l0eSBvZiBTY2llbmNl
IGFuZCBUZWNobm9sb2d5LCBXdWhhbiwgQ2hpbmEuJiN4RDtEZXBhcnRtZW50IG9mIENsaW5pY2Fs
IExhYm9yYXRvcnksIFRoZSBGaXJzdCBBZmZpbGlhdGVkIEhvc3BpdGFsIG9mIFN1biBZYXQtU2Vu
IFVuaXZlcnNpdHksIEd1YW5nemhvdSwgQ2hpbmEuJiN4RDtEZXBhcnRtZW50IG9mIENsaW5pY2Fs
IExhYm9yYXRvcnksIFRoZSBGaXJzdCBBZmZpbGlhdGVkIEhvc3BpdGFsIG9mIEhhcmJpbiBNZWRp
Y2FsIFVuaXZlcnNpdHksIEhhcmJpbiwgQ2hpbmEuJiN4RDtEZXBhcnRtZW50IG9mIENsaW5pY2Fs
IExhYm9yYXRvcnksIFBla2luZyBVbml2ZXJzaXR5IEZpcnN0IEhvc3BpdGFsLCBCZWlqaW5nLCBD
aGluYS4mI3hEO0xhYm9yYXRvcnkgb2YgQ2xpbmljYWwgTWljcm9iaW9sb2d5LCBXZXN0IENoaW5h
IEhvc3BpdGFsLCBTaWNodWFuIFVuaXZlcnNpdHksIENoZW5nZHUsIENoaW5hLiYjeEQ7RGVwYXJ0
bWVudCBvZiBDbGluaWNhbCBMYWJvcmF0b3J5LCBUaWFuamluIE1lZGljYWwgVW5pdmVyc2l0eSBH
ZW5lcmFsIEhvc3BpdGFsLCBUaWFuamluLCBDaGluYS4mI3hEO0RlcGFydG1lbnQgb2YgQ2xpbmlj
YWwgTGFib3JhdG9yeSwgVGhlIEZpcnN0IEhvc3BpdGFsIG9mIENoaW5hIE1lZGljYWwgVW5pdmVy
c2l0eSwgU2hlbnlhbmcsIENoaW5hLiYjeEQ7RGVwYXJ0bWVudCBvZiBDbGluaWNhbCBMYWJvcmF0
b3J5LCBUaGUgUGVvcGxlJmFwb3M7cyBIb3NwaXRhbCBvZiBMaWFvbmluZyBQcm92aW5jZSwgU2hl
bnlhbmcsIENoaW5hLiYjeEQ7RGVwYXJ0bWVudCBvZiBDbGluaWNhbCBNaWNyb2Jpb2xvZ3kgYW5k
IEluZmVjdGlvbiBDb250cm9sLCBSdWlqaW4gSG9zcGl0YWwgQWZmaWxpYXRlZCB0byBTY2hvb2wg
b2YgTWVkaWNpbmUsIFNoYW5naGFpIEppYW90b25nIFVuaXZlcnNpdHksIFNoYW5naGFpLCBDaGlu
YS4mI3hEO0RlcGFydG1lbnQgb2YgQ2xpbmljYWwgTGFib3JhdG9yeSwgVGhlIEZvdXJ0aCBBZmZp
bGlhdGVkIEhvc3BpdGFsIG9mIEhhcmJpbiBNZWRpY2FsIFVuaXZlcnNpdHksIEhhcmJpbiwgQ2hp
bmEuJiN4RDtEZXBhcnRtZW50IG9mIENsaW5pY2FsIExhYm9yYXRvcnksIFBla2luZyBVbmlvbiBN
ZWRpY2FsIENvbGxlZ2UgSG9zcGl0YWwsIEJlaWppbmcsIENoaW5hIHh5Y3B1bWNoQDEzOS5jb20u
PC9hdXRoLWFkZHJlc3M+PHRpdGxlcz48dGl0bGU+QW50aWZ1bmdhbCBzdXNjZXB0aWJpbGl0aWVz
IG9mIENhbmRpZGEgZ2xhYnJhdGEgc3BlY2llcyBjb21wbGV4LCBDYW5kaWRhIGtydXNlaSwgQ2Fu
ZGlkYSBwYXJhcHNpbG9zaXMgc3BlY2llcyBjb21wbGV4IGFuZCBDYW5kaWRhIHRyb3BpY2FsaXMg
Y2F1c2luZyBpbnZhc2l2ZSBjYW5kaWRpYXNpcyBpbiBDaGluYTogMyB5ZWFyIG5hdGlvbmFsIHN1
cnZlaWxsYW5jZTwvdGl0bGU+PHNlY29uZGFyeS10aXRsZT5KIEFudGltaWNyb2IgQ2hlbW90aGVy
PC9zZWNvbmRhcnktdGl0bGU+PC90aXRsZXM+PHBlcmlvZGljYWw+PGZ1bGwtdGl0bGU+SiBBbnRp
bWljcm9iIENoZW1vdGhlcjwvZnVsbC10aXRsZT48L3BlcmlvZGljYWw+PHBhZ2VzPjgwMi0xMDwv
cGFnZXM+PHZvbHVtZT43MDwvdm9sdW1lPjxudW1iZXI+MzwvbnVtYmVyPjxlZGl0aW9uPjIwMTQv
MTIvMDU8L2VkaXRpb24+PGtleXdvcmRzPjxrZXl3b3JkPkFudGlmdW5nYWwgQWdlbnRzLypwaGFy
bWFjb2xvZ3k8L2tleXdvcmQ+PGtleXdvcmQ+Q2FuZGlkYS9jbGFzc2lmaWNhdGlvbi8qZHJ1ZyBl
ZmZlY3RzL2lzb2xhdGlvbiAmYW1wOyBwdXJpZmljYXRpb248L2tleXdvcmQ+PGtleXdvcmQ+Q2Fu
ZGlkaWFzaXMsIEludmFzaXZlL2VwaWRlbWlvbG9neS8qbWljcm9iaW9sb2d5PC9rZXl3b3JkPjxr
ZXl3b3JkPkNoaW5hL2VwaWRlbWlvbG9neTwva2V5d29yZD48a2V5d29yZD5EcnVnIFJlc2lzdGFu
Y2UsIEZ1bmdhbDwva2V5d29yZD48a2V5d29yZD5FcGlkZW1pb2xvZ2ljYWwgTW9uaXRvcmluZzwv
a2V5d29yZD48a2V5d29yZD5Ib3NwaXRhbHM8L2tleXdvcmQ+PGtleXdvcmQ+SHVtYW5zPC9rZXl3
b3JkPjxrZXl3b3JkPk1pY3JvYmlhbCBTZW5zaXRpdml0eSBUZXN0czwva2V5d29yZD48a2V5d29y
ZD5QcmV2YWxlbmNlPC9rZXl3b3JkPjxrZXl3b3JkPlByb3NwZWN0aXZlIFN0dWRpZXM8L2tleXdv
cmQ+PGtleXdvcmQ+U2VxdWVuY2UgQW5hbHlzaXMsIEROQTwva2V5d29yZD48a2V5d29yZD5TcGVj
dHJvbWV0cnksIE1hc3MsIE1hdHJpeC1Bc3Npc3RlZCBMYXNlciBEZXNvcnB0aW9uLUlvbml6YXRp
b248L2tleXdvcmQ+PGtleXdvcmQ+Qy4gZ2xhYnJhdGEgc3BlY2llcyBjb21wbGV4PC9rZXl3b3Jk
PjxrZXl3b3JkPkMuIGtydXNlaTwva2V5d29yZD48a2V5d29yZD5DLiBwYXJhcHNpbG9zaXMgc3Bl
Y2llcyBjb21wbGV4PC9rZXl3b3JkPjxrZXl3b3JkPkMuIHRyb3BpY2FsaXM8L2tleXdvcmQ+PGtl
eXdvcmQ+Q2hpbmEgSG9zcGl0YWwgSW52YXNpdmUgRnVuZ2FsIFN1cnZlaWxsYW5jZSBOZXQgKENI
SUYtTkVUKTwva2V5d29yZD48a2V5d29yZD5hbnRpZnVuZ2FsIHN1c2NlcHRpYmlsaXR5PC9rZXl3
b3JkPjxrZXl3b3JkPm5vbi1hbGJpY2FucyBDYW5kaWRhIHNwZWNpZXMvc3BlY2llcyBjb21wbGV4
ZXM8L2tleXdvcmQ+PC9rZXl3b3Jkcz48ZGF0ZXM+PHllYXI+MjAxNTwveWVhcj48cHViLWRhdGVz
PjxkYXRlPk1hcjwvZGF0ZT48L3B1Yi1kYXRlcz48L2RhdGVzPjxpc2JuPjE0NjAtMjA5MSAoRWxl
Y3Ryb25pYykmI3hEOzAzMDUtNzQ1MyAoTGlua2luZyk8L2lzYm4+PGFjY2Vzc2lvbi1udW0+MjU0
NzMwMjc8L2FjY2Vzc2lvbi1udW0+PHVybHM+PHJlbGF0ZWQtdXJscz48dXJsPmh0dHBzOi8vd3d3
Lm5jYmkubmxtLm5paC5nb3YvcHVibWVkLzI1NDczMDI3PC91cmw+PC9yZWxhdGVkLXVybHM+PC91
cmxzPjxlbGVjdHJvbmljLXJlc291cmNlLW51bT4xMC4xMDkzL2phYy9ka3U0NjA8L2VsZWN0cm9u
aWMtcmVzb3VyY2UtbnVtPjwvcmVjb3JkPjwvQ2l0ZT48L0VuZE5vdGU+AGAA
</w:fldData>
        </w:fldChar>
      </w:r>
      <w:r>
        <w:instrText xml:space="preserve"> ADDIN EN.CITE.DATA </w:instrText>
      </w:r>
      <w:r>
        <w:fldChar w:fldCharType="end"/>
      </w:r>
      <w:r>
        <w:fldChar w:fldCharType="separate"/>
      </w:r>
      <w:r>
        <w:t>[13]</w:t>
      </w:r>
      <w:r>
        <w:fldChar w:fldCharType="end"/>
      </w:r>
      <w:r>
        <w:rPr>
          <w:rFonts w:hint="eastAsia"/>
        </w:rPr>
        <w:t>，常造成潜在致命性脑膜脑炎和/或肺部疾病。因其临床表现、影像学表现缺乏特异性，且病原学检出率低，诊断较为困难，故多采用隐球菌抗原的免疫学检查作为辅助手段。目前，临床上最常用的隐球菌抗原检测方法有乳胶凝集试验、酶联免疫分析法及胶体金免疫层析法。其中，胶体金免疫层析法可应用于血清、血浆和脑脊液等多种样本，操作简单快速，1</w:t>
      </w:r>
      <w:r>
        <w:t>0</w:t>
      </w:r>
      <w:r>
        <w:rPr>
          <w:rFonts w:hint="eastAsia"/>
        </w:rPr>
        <w:t>分钟即可出结果，且灵敏度达9</w:t>
      </w:r>
      <w:r>
        <w:t>6</w:t>
      </w:r>
      <w:r>
        <w:rPr>
          <w:rFonts w:hint="eastAsia"/>
        </w:rPr>
        <w:t>~</w:t>
      </w:r>
      <w:r>
        <w:t>100</w:t>
      </w:r>
      <w:r>
        <w:rPr>
          <w:rFonts w:hint="eastAsia"/>
        </w:rPr>
        <w:t>%、特异性达9</w:t>
      </w:r>
      <w:r>
        <w:t>8</w:t>
      </w:r>
      <w:r>
        <w:rPr>
          <w:rFonts w:hint="eastAsia"/>
        </w:rPr>
        <w:t>~</w:t>
      </w:r>
      <w:r>
        <w:t>100</w:t>
      </w:r>
      <w:r>
        <w:rPr>
          <w:rFonts w:hint="eastAsia"/>
        </w:rPr>
        <w:t xml:space="preserve">%，与其他方法相比有显著优势 </w:t>
      </w:r>
      <w:r>
        <w:fldChar w:fldCharType="begin"/>
      </w:r>
      <w:r>
        <w:instrText xml:space="preserve"> ADDIN EN.CITE &lt;EndNote&gt;&lt;Cite&gt;&lt;Author&gt;Boulware&lt;/Author&gt;&lt;Year&gt;2014&lt;/Year&gt;&lt;RecNum&gt;53&lt;/RecNum&gt;&lt;DisplayText&gt;[23]&lt;/DisplayText&gt;&lt;record&gt;&lt;rec-number&gt;53&lt;/rec-number&gt;&lt;foreign-keys&gt;&lt;key app="EN" db-id="wpsw5p5parwd99e5z2sp05alf9x5vz9z520s" timestamp="1534145308"&gt;53&lt;/key&gt;&lt;/foreign-keys&gt;&lt;ref-type name="Journal Article"&gt;17&lt;/ref-type&gt;&lt;contributors&gt;&lt;authors&gt;&lt;author&gt;Boulware, David R&lt;/author&gt;&lt;author&gt;Rolfes, Melissa A&lt;/author&gt;&lt;author&gt;Rajasingham, Radha&lt;/author&gt;&lt;author&gt;von Hohenberg, Maximilian&lt;/author&gt;&lt;author&gt;Qin, Zhenpeng&lt;/author&gt;&lt;author&gt;Taseera, Kabanda&lt;/author&gt;&lt;author&gt;Schutz, Charlotte&lt;/author&gt;&lt;author&gt;Kwizera, Richard&lt;/author&gt;&lt;author&gt;Butler, Elissa K&lt;/author&gt;&lt;author&gt;Meintjes, Graeme&lt;/author&gt;&lt;/authors&gt;&lt;/contributors&gt;&lt;titles&gt;&lt;title&gt;Multisite validation of cryptococcal antigen lateral flow assay and quantification by laser thermal contrast&lt;/title&gt;&lt;secondary-title&gt;Emerging infectious diseases&lt;/secondary-title&gt;&lt;/titles&gt;&lt;periodical&gt;&lt;full-title&gt;Emerging infectious diseases&lt;/full-title&gt;&lt;/periodical&gt;&lt;pages&gt;45&lt;/pages&gt;&lt;volume&gt;20&lt;/volume&gt;&lt;number&gt;1&lt;/number&gt;&lt;dates&gt;&lt;year&gt;2014&lt;/year&gt;&lt;/dates&gt;&lt;urls&gt;&lt;/urls&gt;&lt;/record&gt;&lt;/Cite&gt;&lt;/EndNote&gt;</w:instrText>
      </w:r>
      <w:r>
        <w:fldChar w:fldCharType="separate"/>
      </w:r>
      <w:r>
        <w:t>[23]</w:t>
      </w:r>
      <w:r>
        <w:fldChar w:fldCharType="end"/>
      </w:r>
      <w:r>
        <w:rPr>
          <w:rFonts w:hint="eastAsia"/>
        </w:rPr>
        <w:t>。然而，Chindamporn等人的调查结果显示，我国临床隐球菌抗原检测以乳胶凝集试验为主（6</w:t>
      </w:r>
      <w:r>
        <w:t>6.7</w:t>
      </w:r>
      <w:r>
        <w:rPr>
          <w:rFonts w:hint="eastAsia"/>
        </w:rPr>
        <w:t>%），胶体金免疫层析法在我国临床开展比例远低于亚洲七个国家/地区的平均水平（1</w:t>
      </w:r>
      <w:r>
        <w:t>1.1</w:t>
      </w:r>
      <w:r>
        <w:rPr>
          <w:rFonts w:hint="eastAsia"/>
        </w:rPr>
        <w:t>%</w:t>
      </w:r>
      <w:r>
        <w:t xml:space="preserve"> </w:t>
      </w:r>
      <w:r>
        <w:rPr>
          <w:rFonts w:hint="eastAsia"/>
        </w:rPr>
        <w:t>vs.</w:t>
      </w:r>
      <w:r>
        <w:t xml:space="preserve"> 29.2%</w:t>
      </w:r>
      <w:r>
        <w:rPr>
          <w:rFonts w:hint="eastAsia"/>
        </w:rPr>
        <w:t>）</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。此次调研表明，仅2</w:t>
      </w:r>
      <w:r>
        <w:t>5.6</w:t>
      </w:r>
      <w:r>
        <w:rPr>
          <w:rFonts w:hint="eastAsia"/>
        </w:rPr>
        <w:t>%的三甲医院可在本院开展隐球菌抗原检测，以其中约1</w:t>
      </w:r>
      <w:r>
        <w:t>1.1</w:t>
      </w:r>
      <w:r>
        <w:rPr>
          <w:rFonts w:hint="eastAsia"/>
        </w:rPr>
        <w:t>%采用胶体金免疫层析法推算，全国现有胶体金免疫层析法的覆盖率可能不足3%。因此，应考虑进一步推广胶体金免疫层析法，以辅助隐球菌感染的早期诊断。</w:t>
      </w:r>
    </w:p>
    <w:p/>
    <w:p>
      <w:pPr>
        <w:pStyle w:val="4"/>
      </w:pPr>
      <w:bookmarkStart w:id="97" w:name="_Toc519069717"/>
      <w:r>
        <w:rPr>
          <w:rFonts w:hint="eastAsia"/>
        </w:rPr>
        <w:t>室间质评参与现状</w:t>
      </w:r>
      <w:bookmarkEnd w:id="97"/>
    </w:p>
    <w:p>
      <w:r>
        <w:rPr>
          <w:rFonts w:hint="eastAsia"/>
        </w:rPr>
        <w:t>室间质评是权威机构或上级业务部门利用实验室间的对比试验来确定实验能力的一种技术活动，是多家实验室分析同一样本，并由外部独立机构收集和反馈实验室回报结果评价实验室操作的过程</w:t>
      </w:r>
      <w:r>
        <w:rPr>
          <w:rStyle w:val="24"/>
        </w:rPr>
        <w:footnoteReference w:id="1"/>
      </w:r>
      <w:r>
        <w:rPr>
          <w:rFonts w:hint="eastAsia"/>
        </w:rPr>
        <w:t>。目前，由于我国整体检测水平不高，临床真菌检测存在操作不规范、诊断标准不明确等问题；尤其是药敏试验方面，由于采用的方法参差不齐，且操作、判读存在很大的主观性，因而各检测室间若不统一标准，易造成测试结果失准。因此，室间质评对于规范实验室操作流程、提高真菌检测结果的有效性尤为重要。然而，此次调研显示，质量管理和标准化操作的意识在三甲医院临床微生物实验室中尚未得到足够的重视，3</w:t>
      </w:r>
      <w:r>
        <w:t>48</w:t>
      </w:r>
      <w:r>
        <w:rPr>
          <w:rFonts w:hint="eastAsia"/>
        </w:rPr>
        <w:t>家医院中有4</w:t>
      </w:r>
      <w:r>
        <w:t>3</w:t>
      </w:r>
      <w:r>
        <w:rPr>
          <w:rFonts w:hint="eastAsia"/>
        </w:rPr>
        <w:t>%不参加任何级别的室间质评。纵观国际水平，Ha</w:t>
      </w:r>
      <w:r>
        <w:t>ssan</w:t>
      </w:r>
      <w:r>
        <w:rPr>
          <w:rFonts w:hint="eastAsia"/>
        </w:rPr>
        <w:t>等人于2</w:t>
      </w:r>
      <w:r>
        <w:t>004</w:t>
      </w:r>
      <w:r>
        <w:rPr>
          <w:rFonts w:hint="eastAsia"/>
        </w:rPr>
        <w:t>年在英国西北部开展的小规模临床真菌检测水平调研结果显示，2</w:t>
      </w:r>
      <w:r>
        <w:t>1</w:t>
      </w:r>
      <w:r>
        <w:rPr>
          <w:rFonts w:hint="eastAsia"/>
        </w:rPr>
        <w:t xml:space="preserve">家参与调查的英国医院全部参与室间质评 </w:t>
      </w:r>
      <w:r>
        <w:fldChar w:fldCharType="begin"/>
      </w:r>
      <w:r>
        <w:instrText xml:space="preserve"> ADDIN EN.CITE &lt;EndNote&gt;&lt;Cite&gt;&lt;Author&gt;Hassan&lt;/Author&gt;&lt;Year&gt;2006&lt;/Year&gt;&lt;RecNum&gt;11&lt;/RecNum&gt;&lt;DisplayText&gt;[21]&lt;/DisplayText&gt;&lt;record&gt;&lt;rec-number&gt;11&lt;/rec-number&gt;&lt;foreign-keys&gt;&lt;key app="EN" db-id="wpsw5p5parwd99e5z2sp05alf9x5vz9z520s" timestamp="1530431360"&gt;11&lt;/key&gt;&lt;key app="ENWeb" db-id=""&gt;0&lt;/key&gt;&lt;/foreign-keys&gt;&lt;ref-type name="Journal Article"&gt;17&lt;/ref-type&gt;&lt;contributors&gt;&lt;authors&gt;&lt;author&gt;Hassan, I. A.&lt;/author&gt;&lt;author&gt;Critten, P.&lt;/author&gt;&lt;author&gt;Isalska, B.&lt;/author&gt;&lt;author&gt;Denning, D. W.&lt;/author&gt;&lt;/authors&gt;&lt;/contributors&gt;&lt;auth-address&gt;Department of Microbiology CSB, SMUHT Wythenshawe Hospital, Manchester, UK. ihassan@doctors.org.uk&lt;/auth-address&gt;&lt;titles&gt;&lt;title&gt;Audit of laboratory mycology services for the management of patients with fungal infections in the northwest of England&lt;/title&gt;&lt;secondary-title&gt;J Clin Pathol&lt;/secondary-title&gt;&lt;/titles&gt;&lt;periodical&gt;&lt;full-title&gt;J Clin Pathol&lt;/full-title&gt;&lt;/periodical&gt;&lt;pages&gt;759-63&lt;/pages&gt;&lt;volume&gt;59&lt;/volume&gt;&lt;number&gt;7&lt;/number&gt;&lt;edition&gt;2006/06/29&lt;/edition&gt;&lt;keywords&gt;&lt;keyword&gt;Dermatomycoses/diagnosis&lt;/keyword&gt;&lt;keyword&gt;England&lt;/keyword&gt;&lt;keyword&gt;Fungemia/diagnosis&lt;/keyword&gt;&lt;keyword&gt;Humans&lt;/keyword&gt;&lt;keyword&gt;Laboratories/*standards/statistics &amp;amp; numerical data&lt;/keyword&gt;&lt;keyword&gt;Medical Audit&lt;/keyword&gt;&lt;keyword&gt;Microbial Sensitivity Tests/methods&lt;/keyword&gt;&lt;keyword&gt;Mycological Typing Techniques/methods&lt;/keyword&gt;&lt;keyword&gt;Mycology/methods/*standards&lt;/keyword&gt;&lt;keyword&gt;Mycoses/*diagnosis&lt;/keyword&gt;&lt;keyword&gt;Quality Assurance, Health Care&lt;/keyword&gt;&lt;/keywords&gt;&lt;dates&gt;&lt;year&gt;2006&lt;/year&gt;&lt;pub-dates&gt;&lt;date&gt;Jul&lt;/date&gt;&lt;/pub-dates&gt;&lt;/dates&gt;&lt;isbn&gt;0021-9746 (Print)&amp;#xD;0021-9746 (Linking)&lt;/isbn&gt;&lt;accession-num&gt;16803950&lt;/accession-num&gt;&lt;urls&gt;&lt;related-urls&gt;&lt;url&gt;https://www.ncbi.nlm.nih.gov/pubmed/16803950&lt;/url&gt;&lt;/related-urls&gt;&lt;/urls&gt;&lt;custom2&gt;PMC1860420&lt;/custom2&gt;&lt;electronic-resource-num&gt;10.1136/jcp.2005.034108&lt;/electronic-resource-num&gt;&lt;/record&gt;&lt;/Cite&gt;&lt;/EndNote&gt;</w:instrText>
      </w:r>
      <w:r>
        <w:fldChar w:fldCharType="separate"/>
      </w:r>
      <w:r>
        <w:t>[21]</w:t>
      </w:r>
      <w:r>
        <w:fldChar w:fldCharType="end"/>
      </w:r>
      <w:r>
        <w:rPr>
          <w:rFonts w:hint="eastAsia"/>
        </w:rPr>
        <w:t>。Chin</w:t>
      </w:r>
      <w:r>
        <w:t>damporn</w:t>
      </w:r>
      <w:r>
        <w:rPr>
          <w:rFonts w:hint="eastAsia"/>
        </w:rPr>
        <w:t>等人于2</w:t>
      </w:r>
      <w:r>
        <w:t>016</w:t>
      </w:r>
      <w:r>
        <w:rPr>
          <w:rFonts w:hint="eastAsia"/>
        </w:rPr>
        <w:t>年开展的亚洲调查显示印度和新加坡参与室间质评的医院比例均高于我国，分别为69%（5</w:t>
      </w:r>
      <w:r>
        <w:t>5</w:t>
      </w:r>
      <w:r>
        <w:rPr>
          <w:rFonts w:hint="eastAsia"/>
        </w:rPr>
        <w:t>/</w:t>
      </w:r>
      <w:r>
        <w:t>80</w:t>
      </w:r>
      <w:r>
        <w:rPr>
          <w:rFonts w:hint="eastAsia"/>
        </w:rPr>
        <w:t>）和100%</w:t>
      </w:r>
      <w:r>
        <w:t xml:space="preserve"> </w:t>
      </w:r>
      <w:r>
        <w:rPr>
          <w:rFonts w:hint="eastAsia"/>
        </w:rPr>
        <w:t>（4</w:t>
      </w:r>
      <w:r>
        <w:t>/4</w:t>
      </w:r>
      <w:r>
        <w:rPr>
          <w:rFonts w:hint="eastAsia"/>
        </w:rPr>
        <w:t>）；中国台湾地区参与室间质评的比例也较高，达71.4%</w:t>
      </w:r>
      <w:r>
        <w:t xml:space="preserve"> </w:t>
      </w:r>
      <w:r>
        <w:rPr>
          <w:rFonts w:hint="eastAsia"/>
        </w:rPr>
        <w:t>（1</w:t>
      </w:r>
      <w:r>
        <w:t>0/14</w:t>
      </w:r>
      <w:r>
        <w:rPr>
          <w:rFonts w:hint="eastAsia"/>
        </w:rPr>
        <w:t>）</w:t>
      </w:r>
      <w:r>
        <w:t xml:space="preserve"> </w: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 </w:instrText>
      </w:r>
      <w:r>
        <w:fldChar w:fldCharType="begin">
          <w:fldData xml:space="preserve">PEVuZE5vdGU+PENpdGU+PEF1dGhvcj5DaGluZGFtcG9ybjwvQXV0aG9yPjxZZWFyPjIwMTg8L1ll
YXI+PFJlY051bT4xPC9SZWNOdW0+PERpc3BsYXlUZXh0PlszXTwvRGlzcGxheVRleHQ+PHJlY29y
ZD48cmVjLW51bWJlcj4xPC9yZWMtbnVtYmVyPjxmb3JlaWduLWtleXM+PGtleSBhcHA9IkVOIiBk
Yi1pZD0id3BzdzVwNXBhcndkOTllNXoyc3AwNWFsZjl4NXZ6OXo1MjBzIiB0aW1lc3RhbXA9IjE1
Mjk5OTM0ODUiPjE8L2tleT48a2V5IGFwcD0iRU5XZWIiIGRiLWlkPSIiPjA8L2tleT48L2ZvcmVp
Z24ta2V5cz48cmVmLXR5cGUgbmFtZT0iSm91cm5hbCBBcnRpY2xlIj4xNzwvcmVmLXR5cGU+PGNv
bnRyaWJ1dG9ycz48YXV0aG9ycz48YXV0aG9yPkNoaW5kYW1wb3JuLCBBLjwvYXV0aG9yPjxhdXRo
b3I+Q2hha3JhYmFydGksIEEuPC9hdXRob3I+PGF1dGhvcj5MaSwgUi48L2F1dGhvcj48YXV0aG9y
PlN1biwgUC4gTC48L2F1dGhvcj48YXV0aG9yPlRhbiwgQi4gSC48L2F1dGhvcj48YXV0aG9yPkNo
dWEsIE0uPC9hdXRob3I+PGF1dGhvcj5XYWh5dW5pbmdzaWgsIFIuPC9hdXRob3I+PGF1dGhvcj5Q
YXRlbCwgQS48L2F1dGhvcj48YXV0aG9yPkxpdSwgWi48L2F1dGhvcj48YXV0aG9yPkNoZW4sIFku
IEMuPC9hdXRob3I+PGF1dGhvcj5DaGF5YWt1bGtlZXJlZSwgTS48L2F1dGhvcj48L2F1dGhvcnM+
PC9jb250cmlidXRvcnM+PGF1dGgtYWRkcmVzcz5EZXBhcnRtZW50IG9mIE1pY3JvYmlvbG9neSwg
RmFjdWx0eSBvZiBNZWRpY2luZSwgS2luZyBDaHVsYWxvbmdrb3JuIE1lbW9yaWFsIEhvc3BpdGFs
IENodWxhbG9uZ2tvcm4gVW5pdmVyc2l0eSwgQmFuZ2tvaywgVGhhaWxhbmQuJiN4RDtEZXBhcnRt
ZW50IG9mIE1lZGljYWwgTWljcm9iaW9sb2d5LCBQb3N0Z3JhZHVhdGUgSW5zdGl0dXRlIG9mIE1l
ZGljYWwgRWR1Y2F0aW9uICZhbXA7IFJlc2VhcmNoLCBDaGFuZGlnYXJoLCBJbmRpYS4mI3hEO0Rl
cGFydG1lbnQgb2YgRGVybWF0b2xvZ3ksIFBla2luZyBVbml2ZXJzaXR5IEZpcnN0IEhvc3BpdGFs
LCBSZXNlYXJjaCBDZW50cmUgZm9yIE1lZGljYWwgTXljb2xvZ3ksIFBla2luZyBVbml2ZXJzaXR5
LCBCZWlqaW5nLCBDaGluYS4mI3hEO0RlcGFydG1lbnQgb2YgRGVybWF0b2xvZ3ksIENoYW5nIEd1
bmcgTWVtb3JpYWwgSG9zcGl0YWwsIExpbmtvdSBCcmFuY2ggYW5kIENvbGxlZ2Ugb2YgTWVkaWNp
bmUsIENoYW5nIEd1bmcgVW5pdmVyc2l0eSwgVGFveXVhbiwgVGFpd2FuLiYjeEQ7RGVwYXJ0bWVu
dCBvZiBJbmZlY3Rpb3VzIERpc2Vhc2VzLCBTaW5nYXBvcmUgR2VuZXJhbCBIb3NwaXRhbCwgU2lu
Z2Fwb3JlLiYjeEQ7RGVwYXJ0bWVudCBvZiBNaWNyb2Jpb2xvZ3kgYW5kIFBhcmFzaXRvbG9neSwg
Q2VidSBJbnN0aXR1dGUgb2YgTWVkaWNpbmUsIENlYnUsIFBoaWxpcHBpbmVzLiYjeEQ7RGVwYXJ0
bWVudCBvZiBQYXJhc2l0b2xvZ3ksIEZhY3VsdHkgb2YgTWVkaWNpbmUgVW5pdmVyc2l0YXMgSW5k
b25lc2lhLCBhbmQgRGVwYXJ0bWVudCBvZiBQYXJhc2l0b2xvZ3ksIEZhY3VsdHkgb2YgTWVkaWNp
bmUgVW5pdmVyc2l0YXMgS3Jpc3RlbiBJbmRvbmVzaWEsIEpha2FydGEsIEluZG9uZXNpYS4mI3hE
O0RlcGFydG1lbnQgb2YgSW5mZWN0aW91cyBEaXNlYXNlcywgU3RlcmxpbmcgSG9zcGl0YWwsIEFo
bWVkYWJhZCwgSW5kaWEuJiN4RDtEZXBhcnRtZW50IG9mIEluZmVjdGlvdXMgRGlzZWFzZXMsIFBl
a2luZyBVbmlvbiBNZWRpY2FsIENvbGxlZ2UgSG9zcGl0YWwsIEJlaWppbmcsIENoaW5hLiYjeEQ7
RGVwYXJ0bWVudCBvZiBJbnRlcm5hbCBNZWRpY2luZSwgTmF0aW9uYWwgVGFpd2FuIFVuaXZlcnNp
dHkgSG9zcGl0YWwgYW5kIENvbGxlZ2Ugb2YgTWVkaWNpbmUsIFRhaXBlaSwgVGFpd2FuLiYjeEQ7
RGVwYXJ0bWVudCBvZiBNZWRpY2luZSwgRmFjdWx0eSBvZiBNZWRpY2luZSBTaXJpcmFqIEhvc3Bp
dGFsLCBNYWhpZG9sIFVuaXZlcnNpdHksIEJhbmdrb2ssIFRoYWlsYW5kLjwvYXV0aC1hZGRyZXNz
Pjx0aXRsZXM+PHRpdGxlPlN1cnZleSBvZiBsYWJvcmF0b3J5IHByYWN0aWNlcyBmb3IgZGlhZ25v
c2lzIG9mIGZ1bmdhbCBpbmZlY3Rpb24gaW4gc2V2ZW4gQXNpYW4gY291bnRyaWVzOiBBbiBBc2lh
IEZ1bmdhbCBXb3JraW5nIEdyb3VwIChBRldHKSBpbml0aWF0aXZlPC90aXRsZT48c2Vjb25kYXJ5
LXRpdGxlPk1lZCBNeWNvbDwvc2Vjb25kYXJ5LXRpdGxlPjwvdGl0bGVzPjxwZXJpb2RpY2FsPjxm
dWxsLXRpdGxlPk1lZCBNeWNvbDwvZnVsbC10aXRsZT48L3BlcmlvZGljYWw+PHBhZ2VzPjQxNi00
MjU8L3BhZ2VzPjx2b2x1bWU+NTY8L3ZvbHVtZT48bnVtYmVyPjQ8L251bWJlcj48ZWRpdGlvbj4y
MDE3LzEwLzE3PC9lZGl0aW9uPjxkYXRlcz48eWVhcj4yMDE4PC95ZWFyPjxwdWItZGF0ZXM+PGRh
dGU+SnVuIDE8L2RhdGU+PC9wdWItZGF0ZXM+PC9kYXRlcz48aXNibj4xNDYwLTI3MDkgKEVsZWN0
cm9uaWMpJiN4RDsxMzY5LTM3ODYgKExpbmtpbmcpPC9pc2JuPjxhY2Nlc3Npb24tbnVtPjI5MDM2
NjA1PC9hY2Nlc3Npb24tbnVtPjx1cmxzPjxyZWxhdGVkLXVybHM+PHVybD5odHRwczovL3d3dy5u
Y2JpLm5sbS5uaWguZ292L3B1Ym1lZC8yOTAzNjYwNTwvdXJsPjwvcmVsYXRlZC11cmxzPjwvdXJs
cz48ZWxlY3Ryb25pYy1yZXNvdXJjZS1udW0+MTAuMTA5My9tbXkvbXl4MDY2PC9lbGVjdHJvbmlj
LXJlc291cmNlLW51bT48L3JlY29yZD48L0NpdGU+PC9FbmROb3RlPgBAAA==
</w:fldData>
        </w:fldChar>
      </w:r>
      <w:r>
        <w:instrText xml:space="preserve"> ADDIN EN.CITE.DATA </w:instrText>
      </w:r>
      <w:r>
        <w:fldChar w:fldCharType="end"/>
      </w:r>
      <w:r>
        <w:fldChar w:fldCharType="separate"/>
      </w:r>
      <w:r>
        <w:t>[3]</w:t>
      </w:r>
      <w:r>
        <w:fldChar w:fldCharType="end"/>
      </w:r>
      <w:r>
        <w:rPr>
          <w:rFonts w:hint="eastAsia"/>
        </w:rPr>
        <w:t>。Chinda</w:t>
      </w:r>
      <w:r>
        <w:t>mpo</w:t>
      </w:r>
      <w:r>
        <w:rPr>
          <w:rFonts w:hint="eastAsia"/>
        </w:rPr>
        <w:t>rn等人的报道中，中国医院参与室间质评的比例很低，仅为3</w:t>
      </w:r>
      <w:r>
        <w:t>3.3</w:t>
      </w:r>
      <w:r>
        <w:rPr>
          <w:rFonts w:hint="eastAsia"/>
        </w:rPr>
        <w:t>%</w:t>
      </w:r>
      <w:r>
        <w:t xml:space="preserve"> </w:t>
      </w:r>
      <w:r>
        <w:rPr>
          <w:rFonts w:hint="eastAsia"/>
        </w:rPr>
        <w:t>（1</w:t>
      </w:r>
      <w:r>
        <w:t>1/33</w:t>
      </w:r>
      <w:r>
        <w:rPr>
          <w:rFonts w:hint="eastAsia"/>
        </w:rPr>
        <w:t>），虽然与本次调研结果略有不同（可能由于Chindamporn等人的研究中中国医院样本量较小且所覆盖范围并非均为三甲医院），但此数据也从侧面印证了我国真菌检测室参与室间质评比例较低的现状。参与室间质评，可以有效提高、监督并确保实验室维持较高的检测水准。从综合得分看，参与和不参与室间质评的医院平均分分别为42.</w:t>
      </w:r>
      <w:r>
        <w:t>6</w:t>
      </w:r>
      <w:r>
        <w:rPr>
          <w:rFonts w:hint="eastAsia"/>
        </w:rPr>
        <w:t>分和31.2分，前者整体得分显著高于后者（p</w:t>
      </w:r>
      <w:r>
        <w:t>&lt;0.001</w:t>
      </w:r>
      <w:r>
        <w:rPr>
          <w:rFonts w:hint="eastAsia"/>
        </w:rPr>
        <w:t>）。</w:t>
      </w:r>
    </w:p>
    <w:p>
      <w:r>
        <w:rPr>
          <w:rFonts w:hint="eastAsia"/>
        </w:rPr>
        <w:t>除参与室间质评的医院比例较低外，目前我国参与国际性室间质评项目的实验室数量也很少。参加室间质评的198家医院中，88%的医院参与卫计委或省级组织的室间质评，但是仅有</w:t>
      </w:r>
      <w:r>
        <w:t xml:space="preserve">5% </w:t>
      </w:r>
      <w:r>
        <w:rPr>
          <w:rFonts w:hint="eastAsia"/>
        </w:rPr>
        <w:t>（1</w:t>
      </w:r>
      <w:r>
        <w:t>0/198</w:t>
      </w:r>
      <w:r>
        <w:rPr>
          <w:rFonts w:hint="eastAsia"/>
        </w:rPr>
        <w:t>）的医院参与美国CAP室间质评。CAP是由临床检验学家和病理学家组成的联合会，被公认为医学实验室质量保证的领导者之一。参与CAP室间质评不仅是对检验能力的高度认可，也有助于临床实验室不断改进、提高检测质量，与国际标准接轨。整体测评结果显示，参与CAP的10家医院的综合得分显著高于全国平均水平（p</w:t>
      </w:r>
      <w:r>
        <w:t>=0.001</w:t>
      </w:r>
      <w:r>
        <w:rPr>
          <w:rFonts w:hint="eastAsia"/>
        </w:rPr>
        <w:t>），平均值达5</w:t>
      </w:r>
      <w:r>
        <w:t>5</w:t>
      </w:r>
      <w:r>
        <w:rPr>
          <w:rFonts w:hint="eastAsia"/>
        </w:rPr>
        <w:t>.</w:t>
      </w:r>
      <w:r>
        <w:t>4</w:t>
      </w:r>
      <w:r>
        <w:rPr>
          <w:rFonts w:hint="eastAsia"/>
        </w:rPr>
        <w:t>分，且其中</w:t>
      </w:r>
      <w:r>
        <w:t>5</w:t>
      </w:r>
      <w:r>
        <w:rPr>
          <w:rFonts w:hint="eastAsia"/>
        </w:rPr>
        <w:t>家医院排名居全国前</w:t>
      </w:r>
      <w:r>
        <w:t>1</w:t>
      </w:r>
      <w:r>
        <w:rPr>
          <w:rFonts w:hint="eastAsia"/>
        </w:rPr>
        <w:t>5名。</w:t>
      </w:r>
    </w:p>
    <w:p>
      <w:r>
        <w:rPr>
          <w:rFonts w:hint="eastAsia"/>
        </w:rPr>
        <w:t>因此，三甲医院真菌检测室应积极参加各级组织的室间质评，以助于及时发现问题、提高检出能力，并促进规范化流程的发展，更好地为临床诊治服务。</w:t>
      </w:r>
    </w:p>
    <w:p>
      <w:pPr>
        <w:pStyle w:val="3"/>
      </w:pPr>
      <w:bookmarkStart w:id="98" w:name="_Toc519069718"/>
      <w:r>
        <w:rPr>
          <w:rFonts w:hint="eastAsia"/>
        </w:rPr>
        <w:t>总结与建议</w:t>
      </w:r>
      <w:bookmarkEnd w:id="98"/>
    </w:p>
    <w:p>
      <w:r>
        <w:rPr>
          <w:rFonts w:hint="eastAsia"/>
        </w:rPr>
        <w:t>作为我国首次大规模临床真菌检测能力研究，本次调研共有来自全国30个省（市）的348家三甲综合医院参与，样本覆盖范围广，各级城市、各级规模的医院均有涉及。此次调研从真菌检测实验室硬件条件、人员配备、送检量、检测项目、室间质评和科研五个领域采集了我国三甲医院临床微生物实验室真菌检测能力的基线数据，并由专家组经讨论首创性地制定了一套评分细则，以综合评估各医院的真菌检测水平。</w:t>
      </w:r>
    </w:p>
    <w:p>
      <w:r>
        <w:rPr>
          <w:rFonts w:hint="eastAsia"/>
        </w:rPr>
        <w:t>调查结果显示，我国临床微生物实验室的整体真菌检测能力仍有待提高，主要表现为：</w:t>
      </w:r>
    </w:p>
    <w:p>
      <w:r>
        <w:rPr>
          <w:rFonts w:hint="eastAsia"/>
        </w:rPr>
        <w:t>1）大多数医院未划分独立的真菌检测区域，且独立真菌安全柜、真菌培养孵箱（28</w:t>
      </w:r>
      <w:r>
        <w:rPr>
          <w:rFonts w:hint="eastAsia"/>
          <w:vertAlign w:val="superscript"/>
        </w:rPr>
        <w:t>o</w:t>
      </w:r>
      <w:r>
        <w:rPr>
          <w:rFonts w:hint="eastAsia"/>
        </w:rPr>
        <w:t>C及35</w:t>
      </w:r>
      <w:r>
        <w:rPr>
          <w:rFonts w:hint="eastAsia"/>
          <w:vertAlign w:val="superscript"/>
        </w:rPr>
        <w:t>o</w:t>
      </w:r>
      <w:r>
        <w:rPr>
          <w:rFonts w:hint="eastAsia"/>
        </w:rPr>
        <w:t>C）等硬件配备尚不齐全；</w:t>
      </w:r>
    </w:p>
    <w:p>
      <w:r>
        <w:rPr>
          <w:rFonts w:hint="eastAsia"/>
        </w:rPr>
        <w:t>2）MALDI</w:t>
      </w:r>
      <w:r>
        <w:t>-TOF、</w:t>
      </w:r>
      <w:r>
        <w:rPr>
          <w:rFonts w:hint="eastAsia"/>
        </w:rPr>
        <w:t>测序、G试验、GM试验等可为临床鉴定、早期诊断提供依据的非培养诊断技术在三甲医院中的普及率仍不高；</w:t>
      </w:r>
    </w:p>
    <w:p>
      <w:r>
        <w:rPr>
          <w:rFonts w:hint="eastAsia"/>
        </w:rPr>
        <w:t>3）尽管绝大多数医院有能力在本院开展涂片镜检、酵母菌药敏试验等检测项目，但是检测方法配备齐全的医院比例很低。以涂片镜检为例，不同组织样本、不同菌株所需的染色方法不同，在临床应用中彼此互为补充，然而目前仅7</w:t>
      </w:r>
      <w:r>
        <w:t>.5%</w:t>
      </w:r>
      <w:r>
        <w:rPr>
          <w:rFonts w:hint="eastAsia"/>
        </w:rPr>
        <w:t>的医院同时配备临床常规使用的六种染色方法；</w:t>
      </w:r>
    </w:p>
    <w:p>
      <w:r>
        <w:t>4）</w:t>
      </w:r>
      <w:r>
        <w:rPr>
          <w:rFonts w:hint="eastAsia"/>
        </w:rPr>
        <w:t>质量管理及标准化操作意识不强，参与室间质评的医院比例较低，不足60%；</w:t>
      </w:r>
    </w:p>
    <w:p>
      <w:r>
        <w:t>5）</w:t>
      </w:r>
      <w:r>
        <w:rPr>
          <w:rFonts w:hint="eastAsia"/>
        </w:rPr>
        <w:t>各省市间真菌检测能力尚不均衡，西藏、山西、吉林、安徽、江西、河南等地的整体检测水平较低，有待提高。</w:t>
      </w:r>
    </w:p>
    <w:p/>
    <w:p>
      <w:r>
        <w:rPr>
          <w:rFonts w:hint="eastAsia"/>
        </w:rPr>
        <w:t>为加强我国临床微生物实验室真菌感染诊疗能力的建设，我们建议：</w:t>
      </w:r>
    </w:p>
    <w:p>
      <w:r>
        <w:t>1）</w:t>
      </w:r>
      <w:r>
        <w:rPr>
          <w:rFonts w:hint="eastAsia"/>
        </w:rPr>
        <w:t>在全国范围内：对真菌检测人员加强培训，全面提高从业人员技能；加强各地区医院间的学术交流，以逐步规范临床检测标准；呼吁各微生物实验室真菌检测组积极参与CAP</w:t>
      </w:r>
      <w:r>
        <w:t>、</w:t>
      </w:r>
      <w:r>
        <w:rPr>
          <w:rFonts w:hint="eastAsia"/>
        </w:rPr>
        <w:t>卫计委等各级举办的室间质评，不断提高检测质量；呼吁各实验室积极参与真菌相关科学研究，提高对真菌流行病学及菌株耐药性的监测能力；可参考</w:t>
      </w:r>
      <w:r>
        <w:fldChar w:fldCharType="begin"/>
      </w:r>
      <w:r>
        <w:instrText xml:space="preserve"> </w:instrText>
      </w:r>
      <w:r>
        <w:rPr>
          <w:rFonts w:hint="eastAsia"/>
        </w:rPr>
        <w:instrText xml:space="preserve">REF _Ref518654004 \h</w:instrText>
      </w:r>
      <w:r>
        <w:instrText xml:space="preserve"> </w:instrText>
      </w:r>
      <w:r>
        <w:fldChar w:fldCharType="separate"/>
      </w:r>
      <w:r>
        <w:rPr>
          <w:rFonts w:hint="eastAsia"/>
        </w:rPr>
        <w:t xml:space="preserve">表 </w:t>
      </w:r>
      <w:r>
        <w:t>3</w:t>
      </w:r>
      <w:r>
        <w:fldChar w:fldCharType="end"/>
      </w:r>
      <w:r>
        <w:rPr>
          <w:rFonts w:hint="eastAsia"/>
        </w:rPr>
        <w:t>及附录二的医院名单，加强全国及各省区域化中心的建设。</w:t>
      </w:r>
    </w:p>
    <w:p>
      <w:r>
        <w:rPr>
          <w:rFonts w:hint="eastAsia"/>
        </w:rPr>
        <w:t>2）条件较好的三甲医院可考虑：设置单独的真菌检测工作区域及设备，做好真菌检测的物理分区；添置MALDI</w:t>
      </w:r>
      <w:r>
        <w:t>-TOF</w:t>
      </w:r>
      <w:r>
        <w:rPr>
          <w:rFonts w:hint="eastAsia"/>
        </w:rPr>
        <w:t>质谱仪、测序仪、荧光显微镜等先进诊疗设备；丰富真菌鉴定、诊断、药敏手段；进一步提高非培养诊断的比例，从而加快诊断速度，为临床治疗提供准确快速的指导。</w:t>
      </w:r>
    </w:p>
    <w:p>
      <w:r>
        <w:t>3）</w:t>
      </w:r>
      <w:r>
        <w:rPr>
          <w:rFonts w:hint="eastAsia"/>
        </w:rPr>
        <w:t>暂不具备先进真菌检测条件的医院：可参考附录二至附录四的医院名单，与各省或邻近地区检测能力较强的医院形成密切的合作关系，以便在遇到疑难病症时，能够快速地将样本送至外院进行诊断鉴定；同理，也可与第三方检测机构形成密切的合作关系；尚不具备参与室间质评条件的医院，可根据CAP等各级室间质评的评审检查要点规范化管理真菌检验室。</w:t>
      </w:r>
    </w:p>
    <w:p>
      <w:pPr>
        <w:ind w:firstLine="0"/>
      </w:pPr>
    </w:p>
    <w:p>
      <w:pPr>
        <w:ind w:firstLine="0"/>
      </w:pPr>
    </w:p>
    <w:p>
      <w:pPr>
        <w:ind w:firstLine="0"/>
      </w:pPr>
    </w:p>
    <w:p>
      <w:pPr>
        <w:pStyle w:val="2"/>
      </w:pPr>
      <w:bookmarkStart w:id="99" w:name="_Toc519069719"/>
      <w:r>
        <w:rPr>
          <w:rFonts w:hint="eastAsia"/>
        </w:rPr>
        <w:t>结束语</w:t>
      </w:r>
      <w:bookmarkEnd w:id="99"/>
    </w:p>
    <w:p>
      <w:r>
        <w:rPr>
          <w:rFonts w:hint="eastAsia"/>
        </w:rPr>
        <w:t>临床真菌检测不能单一依赖某一种诊断手段，应综合利用涂片、培养、药敏等多种检测手段，并在此基础上逐步提高非培养方法的应用，提高检测速度，为早期治疗争取时间。与之类似，真菌诊断也不能单一依靠临床检验科，应加强临床医生、放射医生、病理学家、微生物学家、临床药学家等多方面的合作交流，全面提高我国医疗系统的真菌感染诊疗能力。尽管我国目前的真菌检测水平依然有限，但相信随着国家及各级政府医院的重视程度逐步提高，我国的真菌感染诊疗能力将在不久的未来逐渐提高，满足临床检测需求，保障人民群众健康。</w:t>
      </w:r>
    </w:p>
    <w:p/>
    <w:p>
      <w:pPr>
        <w:pStyle w:val="2"/>
      </w:pPr>
      <w:r>
        <w:br w:type="page"/>
      </w:r>
    </w:p>
    <w:p>
      <w:pPr>
        <w:pStyle w:val="2"/>
      </w:pPr>
      <w:bookmarkStart w:id="100" w:name="_Toc519069720"/>
      <w:r>
        <w:rPr>
          <w:rFonts w:hint="eastAsia"/>
        </w:rPr>
        <w:t>参考文献</w:t>
      </w:r>
      <w:bookmarkEnd w:id="100"/>
    </w:p>
    <w:p>
      <w:pPr>
        <w:pStyle w:val="42"/>
        <w:spacing w:after="0"/>
        <w:rPr>
          <w:rFonts w:ascii="Arial" w:hAnsi="Arial" w:cs="Arial"/>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Pr>
          <w:rFonts w:ascii="Arial" w:hAnsi="Arial" w:cs="Arial"/>
        </w:rPr>
        <w:t>1.</w:t>
      </w:r>
      <w:r>
        <w:rPr>
          <w:rFonts w:ascii="Arial" w:hAnsi="Arial" w:cs="Arial"/>
        </w:rPr>
        <w:tab/>
      </w:r>
      <w:r>
        <w:rPr>
          <w:rFonts w:ascii="Arial" w:hAnsi="Arial" w:cs="Arial"/>
        </w:rPr>
        <w:t>Chen M, Xu Y, Hong N, Yang Y, Lei W, Du L, Zhao J, Lei X, Xiong L, Cai L</w:t>
      </w:r>
      <w:r>
        <w:rPr>
          <w:rFonts w:ascii="Arial" w:hAnsi="Arial" w:cs="Arial"/>
          <w:i/>
        </w:rPr>
        <w:t xml:space="preserve"> et al</w:t>
      </w:r>
      <w:r>
        <w:rPr>
          <w:rFonts w:ascii="Arial" w:hAnsi="Arial" w:cs="Arial"/>
        </w:rPr>
        <w:t xml:space="preserve">: Epidemiology of fungal infections in China. </w:t>
      </w:r>
      <w:r>
        <w:rPr>
          <w:rFonts w:ascii="Arial" w:hAnsi="Arial" w:cs="Arial"/>
          <w:i/>
        </w:rPr>
        <w:t xml:space="preserve">Front Med </w:t>
      </w:r>
      <w:r>
        <w:rPr>
          <w:rFonts w:ascii="Arial" w:hAnsi="Arial" w:cs="Arial"/>
        </w:rPr>
        <w:t>2018, 12(1):58-75.</w:t>
      </w:r>
    </w:p>
    <w:p>
      <w:pPr>
        <w:pStyle w:val="42"/>
        <w:spacing w:after="0"/>
        <w:rPr>
          <w:rFonts w:ascii="Arial" w:hAnsi="Arial" w:cs="Arial"/>
        </w:rPr>
      </w:pPr>
      <w:r>
        <w:rPr>
          <w:rFonts w:ascii="Arial" w:hAnsi="Arial" w:cs="Arial"/>
        </w:rPr>
        <w:t>2.</w:t>
      </w:r>
      <w:r>
        <w:rPr>
          <w:rFonts w:ascii="Arial" w:hAnsi="Arial" w:cs="Arial"/>
        </w:rPr>
        <w:tab/>
      </w:r>
      <w:r>
        <w:rPr>
          <w:rFonts w:ascii="Arial" w:hAnsi="Arial" w:cs="Arial"/>
        </w:rPr>
        <w:t xml:space="preserve">中国三级甲等综合医院检验医学微生物学组(科)建设专家共识. </w:t>
      </w:r>
      <w:r>
        <w:rPr>
          <w:rFonts w:ascii="Arial" w:hAnsi="Arial" w:cs="Arial"/>
          <w:i/>
        </w:rPr>
        <w:t xml:space="preserve">中华检验医学杂志 </w:t>
      </w:r>
      <w:r>
        <w:rPr>
          <w:rFonts w:ascii="Arial" w:hAnsi="Arial" w:cs="Arial"/>
        </w:rPr>
        <w:t>2016, 39(8):581-584.</w:t>
      </w:r>
    </w:p>
    <w:p>
      <w:pPr>
        <w:pStyle w:val="42"/>
        <w:spacing w:after="0"/>
        <w:rPr>
          <w:rFonts w:ascii="Arial" w:hAnsi="Arial" w:cs="Arial"/>
        </w:rPr>
      </w:pPr>
      <w:r>
        <w:rPr>
          <w:rFonts w:ascii="Arial" w:hAnsi="Arial" w:cs="Arial"/>
        </w:rPr>
        <w:t>3.</w:t>
      </w:r>
      <w:r>
        <w:rPr>
          <w:rFonts w:ascii="Arial" w:hAnsi="Arial" w:cs="Arial"/>
        </w:rPr>
        <w:tab/>
      </w:r>
      <w:r>
        <w:rPr>
          <w:rFonts w:ascii="Arial" w:hAnsi="Arial" w:cs="Arial"/>
        </w:rPr>
        <w:t>Chindamporn A, Chakrabarti A, Li R, Sun PL, Tan BH, Chua M, Wahyuningsih R, Patel A, Liu Z, Chen YC</w:t>
      </w:r>
      <w:r>
        <w:rPr>
          <w:rFonts w:ascii="Arial" w:hAnsi="Arial" w:cs="Arial"/>
          <w:i/>
        </w:rPr>
        <w:t xml:space="preserve"> et al</w:t>
      </w:r>
      <w:r>
        <w:rPr>
          <w:rFonts w:ascii="Arial" w:hAnsi="Arial" w:cs="Arial"/>
        </w:rPr>
        <w:t xml:space="preserve">: Survey of laboratory practices for diagnosis of fungal infection in seven Asian countries: An Asia Fungal Working Group (AFWG) initiative. </w:t>
      </w:r>
      <w:r>
        <w:rPr>
          <w:rFonts w:ascii="Arial" w:hAnsi="Arial" w:cs="Arial"/>
          <w:i/>
        </w:rPr>
        <w:t xml:space="preserve">Med Mycol </w:t>
      </w:r>
      <w:r>
        <w:rPr>
          <w:rFonts w:ascii="Arial" w:hAnsi="Arial" w:cs="Arial"/>
        </w:rPr>
        <w:t>2018, 56(4):416-425.</w:t>
      </w:r>
    </w:p>
    <w:p>
      <w:pPr>
        <w:pStyle w:val="42"/>
        <w:spacing w:after="0"/>
        <w:rPr>
          <w:rFonts w:ascii="Arial" w:hAnsi="Arial" w:cs="Arial"/>
        </w:rPr>
      </w:pPr>
      <w:r>
        <w:rPr>
          <w:rFonts w:ascii="Arial" w:hAnsi="Arial" w:cs="Arial"/>
        </w:rPr>
        <w:t>4.</w:t>
      </w:r>
      <w:r>
        <w:rPr>
          <w:rFonts w:ascii="Arial" w:hAnsi="Arial" w:cs="Arial"/>
        </w:rPr>
        <w:tab/>
      </w:r>
      <w:r>
        <w:rPr>
          <w:rFonts w:ascii="Arial" w:hAnsi="Arial" w:cs="Arial"/>
        </w:rPr>
        <w:t xml:space="preserve">王欢, 贾天野, 鲍春梅, 张成龙, 张鞠玲, 崔恩博, 陈素明, 徐东平, 曲芬: 质谱仪在真菌鉴定中的应用与评价. </w:t>
      </w:r>
      <w:r>
        <w:rPr>
          <w:rFonts w:ascii="Arial" w:hAnsi="Arial" w:cs="Arial"/>
          <w:i/>
        </w:rPr>
        <w:t xml:space="preserve">传染病信息 </w:t>
      </w:r>
      <w:r>
        <w:rPr>
          <w:rFonts w:ascii="Arial" w:hAnsi="Arial" w:cs="Arial"/>
        </w:rPr>
        <w:t>2015, 28(4):210-214.</w:t>
      </w:r>
    </w:p>
    <w:p>
      <w:pPr>
        <w:pStyle w:val="42"/>
        <w:spacing w:after="0"/>
        <w:rPr>
          <w:rFonts w:ascii="Arial" w:hAnsi="Arial" w:cs="Arial"/>
        </w:rPr>
      </w:pPr>
      <w:r>
        <w:rPr>
          <w:rFonts w:ascii="Arial" w:hAnsi="Arial" w:cs="Arial"/>
        </w:rPr>
        <w:t>5.</w:t>
      </w:r>
      <w:r>
        <w:rPr>
          <w:rFonts w:ascii="Arial" w:hAnsi="Arial" w:cs="Arial"/>
        </w:rPr>
        <w:tab/>
      </w:r>
      <w:r>
        <w:rPr>
          <w:rFonts w:ascii="Arial" w:hAnsi="Arial" w:cs="Arial"/>
        </w:rPr>
        <w:t xml:space="preserve">Quiles-Melero I, Garcia-Rodriguez J, Gomez-Lopez A, Mingorance J: Evaluation of matrix-assisted laser desorption/ionisation time-of-flight (MALDI-TOF) mass spectrometry for identification of Candida parapsilosis, C. orthopsilosis and C. metapsilosis. </w:t>
      </w:r>
      <w:r>
        <w:rPr>
          <w:rFonts w:ascii="Arial" w:hAnsi="Arial" w:cs="Arial"/>
          <w:i/>
        </w:rPr>
        <w:t xml:space="preserve">Eur J Clin Microbiol Infect Dis </w:t>
      </w:r>
      <w:r>
        <w:rPr>
          <w:rFonts w:ascii="Arial" w:hAnsi="Arial" w:cs="Arial"/>
        </w:rPr>
        <w:t>2012, 31(1):67-71.</w:t>
      </w:r>
    </w:p>
    <w:p>
      <w:pPr>
        <w:pStyle w:val="42"/>
        <w:spacing w:after="0"/>
        <w:rPr>
          <w:rFonts w:ascii="Arial" w:hAnsi="Arial" w:cs="Arial"/>
        </w:rPr>
      </w:pPr>
      <w:r>
        <w:rPr>
          <w:rFonts w:ascii="Arial" w:hAnsi="Arial" w:cs="Arial"/>
        </w:rPr>
        <w:t>6.</w:t>
      </w:r>
      <w:r>
        <w:rPr>
          <w:rFonts w:ascii="Arial" w:hAnsi="Arial" w:cs="Arial"/>
        </w:rPr>
        <w:tab/>
      </w:r>
      <w:r>
        <w:rPr>
          <w:rFonts w:ascii="Arial" w:hAnsi="Arial" w:cs="Arial"/>
        </w:rPr>
        <w:t xml:space="preserve">Ranque S, Normand AC, Cassagne C, Murat JB, Bourgeois N, Dalle F, Gari-Toussaint M, Fourquet P, Hendrickx M, Piarroux R: MALDI-TOF mass spectrometry identification of filamentous fungi in the clinical laboratory. </w:t>
      </w:r>
      <w:r>
        <w:rPr>
          <w:rFonts w:ascii="Arial" w:hAnsi="Arial" w:cs="Arial"/>
          <w:i/>
        </w:rPr>
        <w:t xml:space="preserve">Mycoses </w:t>
      </w:r>
      <w:r>
        <w:rPr>
          <w:rFonts w:ascii="Arial" w:hAnsi="Arial" w:cs="Arial"/>
        </w:rPr>
        <w:t>2014, 57(3):135-140.</w:t>
      </w:r>
    </w:p>
    <w:p>
      <w:pPr>
        <w:pStyle w:val="42"/>
        <w:spacing w:after="0"/>
        <w:rPr>
          <w:rFonts w:ascii="Arial" w:hAnsi="Arial" w:cs="Arial"/>
        </w:rPr>
      </w:pPr>
      <w:r>
        <w:rPr>
          <w:rFonts w:ascii="Arial" w:hAnsi="Arial" w:cs="Arial"/>
        </w:rPr>
        <w:t>7.</w:t>
      </w:r>
      <w:r>
        <w:rPr>
          <w:rFonts w:ascii="Arial" w:hAnsi="Arial" w:cs="Arial"/>
        </w:rPr>
        <w:tab/>
      </w:r>
      <w:r>
        <w:rPr>
          <w:rFonts w:ascii="Arial" w:hAnsi="Arial" w:cs="Arial"/>
        </w:rPr>
        <w:t>Yang S, Jin Y, Zhao G, Liu J, Zhou X, Yang J, Wang J, Cui Y, Hu X, Li Y</w:t>
      </w:r>
      <w:r>
        <w:rPr>
          <w:rFonts w:ascii="Arial" w:hAnsi="Arial" w:cs="Arial"/>
          <w:i/>
        </w:rPr>
        <w:t xml:space="preserve"> et al</w:t>
      </w:r>
      <w:r>
        <w:rPr>
          <w:rFonts w:ascii="Arial" w:hAnsi="Arial" w:cs="Arial"/>
        </w:rPr>
        <w:t xml:space="preserve">: Improvement of matrix-assisted laser desorption/ionization time-of-flight mass spectrometry for identification of clinically important Candida species. </w:t>
      </w:r>
      <w:r>
        <w:rPr>
          <w:rFonts w:ascii="Arial" w:hAnsi="Arial" w:cs="Arial"/>
          <w:i/>
        </w:rPr>
        <w:t xml:space="preserve">Clinical laboratory </w:t>
      </w:r>
      <w:r>
        <w:rPr>
          <w:rFonts w:ascii="Arial" w:hAnsi="Arial" w:cs="Arial"/>
        </w:rPr>
        <w:t>2014, 60(1):37-46.</w:t>
      </w:r>
    </w:p>
    <w:p>
      <w:pPr>
        <w:pStyle w:val="42"/>
        <w:spacing w:after="0"/>
        <w:rPr>
          <w:rFonts w:ascii="Arial" w:hAnsi="Arial" w:cs="Arial"/>
        </w:rPr>
      </w:pPr>
      <w:r>
        <w:rPr>
          <w:rFonts w:ascii="Arial" w:hAnsi="Arial" w:cs="Arial"/>
        </w:rPr>
        <w:t>8.</w:t>
      </w:r>
      <w:r>
        <w:rPr>
          <w:rFonts w:ascii="Arial" w:hAnsi="Arial" w:cs="Arial"/>
        </w:rPr>
        <w:tab/>
      </w:r>
      <w:r>
        <w:rPr>
          <w:rFonts w:ascii="Arial" w:hAnsi="Arial" w:cs="Arial"/>
        </w:rPr>
        <w:t xml:space="preserve">Tan KE, Ellis BC, Lee R, Stamper PD, Zhang SX, Carroll KC: Prospective evaluation of a matrix-assisted laser desorption ionization-time of flight mass spectrometry system in a hospital clinical microbiology laboratory for identification of bacteria and yeasts: a bench-by-bench study for assessing the impact on time to identification and cost-effectiveness. </w:t>
      </w:r>
      <w:r>
        <w:rPr>
          <w:rFonts w:ascii="Arial" w:hAnsi="Arial" w:cs="Arial"/>
          <w:i/>
        </w:rPr>
        <w:t xml:space="preserve">J Clin Microbiol </w:t>
      </w:r>
      <w:r>
        <w:rPr>
          <w:rFonts w:ascii="Arial" w:hAnsi="Arial" w:cs="Arial"/>
        </w:rPr>
        <w:t>2012, 50(10):3301-3308.</w:t>
      </w:r>
    </w:p>
    <w:p>
      <w:pPr>
        <w:pStyle w:val="42"/>
        <w:spacing w:after="0"/>
        <w:rPr>
          <w:rFonts w:ascii="Arial" w:hAnsi="Arial" w:cs="Arial"/>
        </w:rPr>
      </w:pPr>
      <w:r>
        <w:rPr>
          <w:rFonts w:ascii="Arial" w:hAnsi="Arial" w:cs="Arial"/>
        </w:rPr>
        <w:t>9.</w:t>
      </w:r>
      <w:r>
        <w:rPr>
          <w:rFonts w:ascii="Arial" w:hAnsi="Arial" w:cs="Arial"/>
        </w:rPr>
        <w:tab/>
      </w:r>
      <w:r>
        <w:rPr>
          <w:rFonts w:ascii="Arial" w:hAnsi="Arial" w:cs="Arial"/>
        </w:rPr>
        <w:t xml:space="preserve">Moncada PA, Budvytiene I, Ho DY, Deresinski SC, Montoya JG, Banaei N: Utility of DNA sequencing for direct identification of invasive fungi from fresh and formalin-fixed specimens. </w:t>
      </w:r>
      <w:r>
        <w:rPr>
          <w:rFonts w:ascii="Arial" w:hAnsi="Arial" w:cs="Arial"/>
          <w:i/>
        </w:rPr>
        <w:t xml:space="preserve">Am J Clin Pathol </w:t>
      </w:r>
      <w:r>
        <w:rPr>
          <w:rFonts w:ascii="Arial" w:hAnsi="Arial" w:cs="Arial"/>
        </w:rPr>
        <w:t>2013, 140(2):203-208.</w:t>
      </w:r>
    </w:p>
    <w:p>
      <w:pPr>
        <w:pStyle w:val="42"/>
        <w:spacing w:after="0"/>
        <w:rPr>
          <w:rFonts w:ascii="Arial" w:hAnsi="Arial" w:cs="Arial"/>
        </w:rPr>
      </w:pPr>
      <w:r>
        <w:rPr>
          <w:rFonts w:ascii="Arial" w:hAnsi="Arial" w:cs="Arial"/>
        </w:rPr>
        <w:t>10.Wang X, Bing J, Zheng Q, Zhang F, Liu J, Yue H, Tao L, Du H, Wang Y, Wang H</w:t>
      </w:r>
      <w:r>
        <w:rPr>
          <w:rFonts w:ascii="Arial" w:hAnsi="Arial" w:cs="Arial"/>
          <w:i/>
        </w:rPr>
        <w:t xml:space="preserve"> et al</w:t>
      </w:r>
      <w:r>
        <w:rPr>
          <w:rFonts w:ascii="Arial" w:hAnsi="Arial" w:cs="Arial"/>
        </w:rPr>
        <w:t xml:space="preserve">: The first isolate of Candida auris in China: clinical and biological aspects. </w:t>
      </w:r>
      <w:r>
        <w:rPr>
          <w:rFonts w:ascii="Arial" w:hAnsi="Arial" w:cs="Arial"/>
          <w:i/>
        </w:rPr>
        <w:t xml:space="preserve">Emerg Microbes Infect </w:t>
      </w:r>
      <w:r>
        <w:rPr>
          <w:rFonts w:ascii="Arial" w:hAnsi="Arial" w:cs="Arial"/>
        </w:rPr>
        <w:t>2018, 7(1):93.</w:t>
      </w:r>
    </w:p>
    <w:p>
      <w:pPr>
        <w:pStyle w:val="42"/>
        <w:spacing w:after="0"/>
        <w:rPr>
          <w:rFonts w:ascii="Arial" w:hAnsi="Arial" w:cs="Arial"/>
        </w:rPr>
      </w:pPr>
      <w:r>
        <w:rPr>
          <w:rFonts w:ascii="Arial" w:hAnsi="Arial" w:cs="Arial"/>
        </w:rPr>
        <w:t xml:space="preserve">11.Xiao M, Wang H, Lu J, Chen SC, Kong F, Ma XJ, Xu YC: Three clustered cases of candidemia caused by Candida quercitrusa and mycological characteristics of this novel species. </w:t>
      </w:r>
      <w:r>
        <w:rPr>
          <w:rFonts w:ascii="Arial" w:hAnsi="Arial" w:cs="Arial"/>
          <w:i/>
        </w:rPr>
        <w:t xml:space="preserve">J Clin Microbiol </w:t>
      </w:r>
      <w:r>
        <w:rPr>
          <w:rFonts w:ascii="Arial" w:hAnsi="Arial" w:cs="Arial"/>
        </w:rPr>
        <w:t>2014, 52(8):3044-3048.</w:t>
      </w:r>
    </w:p>
    <w:p>
      <w:pPr>
        <w:pStyle w:val="42"/>
        <w:spacing w:after="0"/>
        <w:rPr>
          <w:rFonts w:ascii="Arial" w:hAnsi="Arial" w:cs="Arial"/>
        </w:rPr>
      </w:pPr>
      <w:r>
        <w:rPr>
          <w:rFonts w:ascii="Arial" w:hAnsi="Arial" w:cs="Arial"/>
        </w:rPr>
        <w:t>12.Wu SX, Guo NR, Li XF, Liao WQ, Chen M, Zhang QQ, Li CY, Li RY, Bulmer GS, Li DM</w:t>
      </w:r>
      <w:r>
        <w:rPr>
          <w:rFonts w:ascii="Arial" w:hAnsi="Arial" w:cs="Arial"/>
          <w:i/>
        </w:rPr>
        <w:t xml:space="preserve"> et al</w:t>
      </w:r>
      <w:r>
        <w:rPr>
          <w:rFonts w:ascii="Arial" w:hAnsi="Arial" w:cs="Arial"/>
        </w:rPr>
        <w:t xml:space="preserve">: Human pathogenic fungi in China--emerging trends from ongoing national survey for 1986, 1996, and 2006. </w:t>
      </w:r>
      <w:r>
        <w:rPr>
          <w:rFonts w:ascii="Arial" w:hAnsi="Arial" w:cs="Arial"/>
          <w:i/>
        </w:rPr>
        <w:t xml:space="preserve">Mycopathologia </w:t>
      </w:r>
      <w:r>
        <w:rPr>
          <w:rFonts w:ascii="Arial" w:hAnsi="Arial" w:cs="Arial"/>
        </w:rPr>
        <w:t>2011, 171(6):387-393.</w:t>
      </w:r>
    </w:p>
    <w:p>
      <w:pPr>
        <w:pStyle w:val="42"/>
        <w:spacing w:after="0"/>
        <w:rPr>
          <w:rFonts w:ascii="Arial" w:hAnsi="Arial" w:cs="Arial"/>
        </w:rPr>
      </w:pPr>
      <w:r>
        <w:rPr>
          <w:rFonts w:ascii="Arial" w:hAnsi="Arial" w:cs="Arial"/>
        </w:rPr>
        <w:t>13.Xiao M, Fan X, Chen SC, Wang H, Sun ZY, Liao K, Chen SL, Yan Y, Kang M, Hu ZD</w:t>
      </w:r>
      <w:r>
        <w:rPr>
          <w:rFonts w:ascii="Arial" w:hAnsi="Arial" w:cs="Arial"/>
          <w:i/>
        </w:rPr>
        <w:t xml:space="preserve"> et al</w:t>
      </w:r>
      <w:r>
        <w:rPr>
          <w:rFonts w:ascii="Arial" w:hAnsi="Arial" w:cs="Arial"/>
        </w:rPr>
        <w:t xml:space="preserve">: Antifungal susceptibilities of Candida glabrata species complex, Candida krusei, Candida parapsilosis species complex and Candida tropicalis causing invasive candidiasis in China: 3 year national surveillance. </w:t>
      </w:r>
      <w:r>
        <w:rPr>
          <w:rFonts w:ascii="Arial" w:hAnsi="Arial" w:cs="Arial"/>
          <w:i/>
        </w:rPr>
        <w:t xml:space="preserve">J Antimicrob Chemother </w:t>
      </w:r>
      <w:r>
        <w:rPr>
          <w:rFonts w:ascii="Arial" w:hAnsi="Arial" w:cs="Arial"/>
        </w:rPr>
        <w:t>2015, 70(3):802-810.</w:t>
      </w:r>
    </w:p>
    <w:p>
      <w:pPr>
        <w:pStyle w:val="42"/>
        <w:spacing w:after="0"/>
        <w:rPr>
          <w:rFonts w:ascii="Arial" w:hAnsi="Arial" w:cs="Arial"/>
        </w:rPr>
      </w:pPr>
      <w:r>
        <w:rPr>
          <w:rFonts w:ascii="Arial" w:hAnsi="Arial" w:cs="Arial"/>
        </w:rPr>
        <w:t>14.Ullmann AJ, Aguado JM, Arikan-Akdagli S, Denning DW, Groll AH, Lagrou K, Lass-Florl C, Lewis RE, Munoz P, Verweij PE</w:t>
      </w:r>
      <w:r>
        <w:rPr>
          <w:rFonts w:ascii="Arial" w:hAnsi="Arial" w:cs="Arial"/>
          <w:i/>
        </w:rPr>
        <w:t xml:space="preserve"> et al</w:t>
      </w:r>
      <w:r>
        <w:rPr>
          <w:rFonts w:ascii="Arial" w:hAnsi="Arial" w:cs="Arial"/>
        </w:rPr>
        <w:t xml:space="preserve">: Diagnosis and management of Aspergillus diseases: executive summary of the 2017 ESCMID-ECMM-ERS guideline. </w:t>
      </w:r>
      <w:r>
        <w:rPr>
          <w:rFonts w:ascii="Arial" w:hAnsi="Arial" w:cs="Arial"/>
          <w:i/>
        </w:rPr>
        <w:t xml:space="preserve">Clin Microbiol Infect </w:t>
      </w:r>
      <w:r>
        <w:rPr>
          <w:rFonts w:ascii="Arial" w:hAnsi="Arial" w:cs="Arial"/>
        </w:rPr>
        <w:t>2018, 24 Suppl 1:e1-e38.</w:t>
      </w:r>
    </w:p>
    <w:p>
      <w:pPr>
        <w:pStyle w:val="42"/>
        <w:spacing w:after="0"/>
        <w:rPr>
          <w:rFonts w:ascii="Arial" w:hAnsi="Arial" w:cs="Arial"/>
        </w:rPr>
      </w:pPr>
      <w:r>
        <w:rPr>
          <w:rFonts w:ascii="Arial" w:hAnsi="Arial" w:cs="Arial"/>
        </w:rPr>
        <w:t xml:space="preserve">15.Rosner ER, Reiss E, Warren NG, Shadomy HJ, Lipman HB: Evaluation of the status of laboratory practices and the need for continuing education in medical mycology. </w:t>
      </w:r>
      <w:r>
        <w:rPr>
          <w:rFonts w:ascii="Arial" w:hAnsi="Arial" w:cs="Arial"/>
          <w:i/>
        </w:rPr>
        <w:t xml:space="preserve">Am J Clin Pathol </w:t>
      </w:r>
      <w:r>
        <w:rPr>
          <w:rFonts w:ascii="Arial" w:hAnsi="Arial" w:cs="Arial"/>
        </w:rPr>
        <w:t>2002, 118(2):278-286.</w:t>
      </w:r>
    </w:p>
    <w:p>
      <w:pPr>
        <w:pStyle w:val="42"/>
        <w:spacing w:after="0"/>
        <w:rPr>
          <w:rFonts w:ascii="Arial" w:hAnsi="Arial" w:cs="Arial"/>
        </w:rPr>
      </w:pPr>
      <w:r>
        <w:rPr>
          <w:rFonts w:ascii="Arial" w:hAnsi="Arial" w:cs="Arial"/>
        </w:rPr>
        <w:t xml:space="preserve">16.Lasseter G, Palmer M, Morgan J, Watts J, Yoxall H, Kibbler C, McNulty C: Developing best practice for fungal specimen management: audit of UK microbiology laboratories. </w:t>
      </w:r>
      <w:r>
        <w:rPr>
          <w:rFonts w:ascii="Arial" w:hAnsi="Arial" w:cs="Arial"/>
          <w:i/>
        </w:rPr>
        <w:t xml:space="preserve">British Journal of Biomedical Science </w:t>
      </w:r>
      <w:r>
        <w:rPr>
          <w:rFonts w:ascii="Arial" w:hAnsi="Arial" w:cs="Arial"/>
        </w:rPr>
        <w:t>2016, 68(4):197-202.</w:t>
      </w:r>
    </w:p>
    <w:p>
      <w:pPr>
        <w:pStyle w:val="42"/>
        <w:spacing w:after="0"/>
        <w:rPr>
          <w:rFonts w:ascii="Arial" w:hAnsi="Arial" w:cs="Arial"/>
        </w:rPr>
      </w:pPr>
      <w:r>
        <w:rPr>
          <w:rFonts w:ascii="Arial" w:hAnsi="Arial" w:cs="Arial"/>
        </w:rPr>
        <w:t xml:space="preserve">17.张伟宏, 王丽娅, 韩雷, 孙声桃, 吴细丕: KOH湿片镜检法与CFW荧光染色法诊断真菌性角膜炎的效果比较. </w:t>
      </w:r>
      <w:r>
        <w:rPr>
          <w:rFonts w:ascii="Arial" w:hAnsi="Arial" w:cs="Arial"/>
          <w:i/>
        </w:rPr>
        <w:t xml:space="preserve">郑州大学学报（医学版） </w:t>
      </w:r>
      <w:r>
        <w:rPr>
          <w:rFonts w:ascii="Arial" w:hAnsi="Arial" w:cs="Arial"/>
        </w:rPr>
        <w:t>201, 45(2):193-194.</w:t>
      </w:r>
    </w:p>
    <w:p>
      <w:pPr>
        <w:pStyle w:val="42"/>
        <w:spacing w:after="0"/>
        <w:rPr>
          <w:rFonts w:ascii="Arial" w:hAnsi="Arial" w:cs="Arial"/>
        </w:rPr>
      </w:pPr>
      <w:r>
        <w:rPr>
          <w:rFonts w:ascii="Arial" w:hAnsi="Arial" w:cs="Arial"/>
        </w:rPr>
        <w:t>18.Wang H, Xiao M, Chen SC, Kong F, Sun ZY, Liao K, Lu J, Shao HF, Yan Y, Fan H</w:t>
      </w:r>
      <w:r>
        <w:rPr>
          <w:rFonts w:ascii="Arial" w:hAnsi="Arial" w:cs="Arial"/>
          <w:i/>
        </w:rPr>
        <w:t xml:space="preserve"> et al</w:t>
      </w:r>
      <w:r>
        <w:rPr>
          <w:rFonts w:ascii="Arial" w:hAnsi="Arial" w:cs="Arial"/>
        </w:rPr>
        <w:t xml:space="preserve">: In vitro susceptibilities of yeast species to fluconazole and voriconazole as determined by the 2010 National China Hospital Invasive Fungal Surveillance Net (CHIF-NET) study. </w:t>
      </w:r>
      <w:r>
        <w:rPr>
          <w:rFonts w:ascii="Arial" w:hAnsi="Arial" w:cs="Arial"/>
          <w:i/>
        </w:rPr>
        <w:t xml:space="preserve">J Clin Microbiol </w:t>
      </w:r>
      <w:r>
        <w:rPr>
          <w:rFonts w:ascii="Arial" w:hAnsi="Arial" w:cs="Arial"/>
        </w:rPr>
        <w:t>2012, 50(12):3952-3959.</w:t>
      </w:r>
    </w:p>
    <w:p>
      <w:pPr>
        <w:pStyle w:val="42"/>
        <w:spacing w:after="0"/>
        <w:rPr>
          <w:rFonts w:ascii="Arial" w:hAnsi="Arial" w:cs="Arial"/>
        </w:rPr>
      </w:pPr>
      <w:r>
        <w:rPr>
          <w:rFonts w:ascii="Arial" w:hAnsi="Arial" w:cs="Arial"/>
        </w:rPr>
        <w:t xml:space="preserve">19.Hou X, Xiao M, Chen SC-A, Kong F, Wang H, Chu Y-Z, Kang M, Sun Z-Y, Hu Z-D, Li R-Y: Molecular epidemiology and antifungal susceptibility of Candida glabrata in China (August 2009 to July 2014): a multi-center study. </w:t>
      </w:r>
      <w:r>
        <w:rPr>
          <w:rFonts w:ascii="Arial" w:hAnsi="Arial" w:cs="Arial"/>
          <w:i/>
        </w:rPr>
        <w:t xml:space="preserve">Frontiers in microbiology </w:t>
      </w:r>
      <w:r>
        <w:rPr>
          <w:rFonts w:ascii="Arial" w:hAnsi="Arial" w:cs="Arial"/>
        </w:rPr>
        <w:t>2017, 8:880.</w:t>
      </w:r>
    </w:p>
    <w:p>
      <w:pPr>
        <w:pStyle w:val="42"/>
        <w:spacing w:after="0"/>
        <w:rPr>
          <w:rFonts w:ascii="Arial" w:hAnsi="Arial" w:cs="Arial"/>
        </w:rPr>
      </w:pPr>
      <w:r>
        <w:rPr>
          <w:rFonts w:ascii="Arial" w:hAnsi="Arial" w:cs="Arial"/>
        </w:rPr>
        <w:t xml:space="preserve">20.Pfaller MA, Castanheira M, Lockhart SR, Ahlquist AM, Messer SA, Jones RN: Frequency of decreased susceptibility and resistance to echinocandins among fluconazole-resistant bloodstream isolates of Candida glabrata. </w:t>
      </w:r>
      <w:r>
        <w:rPr>
          <w:rFonts w:ascii="Arial" w:hAnsi="Arial" w:cs="Arial"/>
          <w:i/>
        </w:rPr>
        <w:t xml:space="preserve">J Clin Microbiol </w:t>
      </w:r>
      <w:r>
        <w:rPr>
          <w:rFonts w:ascii="Arial" w:hAnsi="Arial" w:cs="Arial"/>
        </w:rPr>
        <w:t>2012, 50(4):1199-1203.</w:t>
      </w:r>
    </w:p>
    <w:p>
      <w:pPr>
        <w:pStyle w:val="42"/>
        <w:spacing w:after="0"/>
        <w:rPr>
          <w:rFonts w:ascii="Arial" w:hAnsi="Arial" w:cs="Arial"/>
        </w:rPr>
      </w:pPr>
      <w:r>
        <w:rPr>
          <w:rFonts w:ascii="Arial" w:hAnsi="Arial" w:cs="Arial"/>
        </w:rPr>
        <w:t xml:space="preserve">21.Hassan IA, Critten P, Isalska B, Denning DW: Audit of laboratory mycology services for the management of patients with fungal infections in the northwest of England. </w:t>
      </w:r>
      <w:r>
        <w:rPr>
          <w:rFonts w:ascii="Arial" w:hAnsi="Arial" w:cs="Arial"/>
          <w:i/>
        </w:rPr>
        <w:t xml:space="preserve">J Clin Pathol </w:t>
      </w:r>
      <w:r>
        <w:rPr>
          <w:rFonts w:ascii="Arial" w:hAnsi="Arial" w:cs="Arial"/>
        </w:rPr>
        <w:t>2006, 59(7):759-763.</w:t>
      </w:r>
    </w:p>
    <w:p>
      <w:pPr>
        <w:pStyle w:val="42"/>
        <w:spacing w:after="0"/>
        <w:rPr>
          <w:rFonts w:ascii="Arial" w:hAnsi="Arial" w:cs="Arial"/>
        </w:rPr>
      </w:pPr>
      <w:r>
        <w:rPr>
          <w:rFonts w:ascii="Arial" w:hAnsi="Arial" w:cs="Arial"/>
        </w:rPr>
        <w:t xml:space="preserve">22.刘波: G试验联合GM试验在ICU患者侵袭性真菌感染诊断中的应用. </w:t>
      </w:r>
      <w:r>
        <w:rPr>
          <w:rFonts w:ascii="Arial" w:hAnsi="Arial" w:cs="Arial"/>
          <w:i/>
        </w:rPr>
        <w:t xml:space="preserve">齐齐哈尔医学院学报 </w:t>
      </w:r>
      <w:r>
        <w:rPr>
          <w:rFonts w:ascii="Arial" w:hAnsi="Arial" w:cs="Arial"/>
        </w:rPr>
        <w:t>2016, 37(33):4156-4157.</w:t>
      </w:r>
    </w:p>
    <w:p>
      <w:pPr>
        <w:pStyle w:val="42"/>
        <w:rPr>
          <w:rFonts w:ascii="Arial" w:hAnsi="Arial" w:cs="Arial"/>
        </w:rPr>
      </w:pPr>
      <w:r>
        <w:rPr>
          <w:rFonts w:ascii="Arial" w:hAnsi="Arial" w:cs="Arial"/>
        </w:rPr>
        <w:t xml:space="preserve">23.Boulware DR, Rolfes MA, Rajasingham R, von Hohenberg M, Qin Z, Taseera K, Schutz C, Kwizera R, Butler EK, Meintjes G: Multisite validation of cryptococcal antigen lateral flow assay and quantification by laser thermal contrast. </w:t>
      </w:r>
      <w:r>
        <w:rPr>
          <w:rFonts w:ascii="Arial" w:hAnsi="Arial" w:cs="Arial"/>
          <w:i/>
        </w:rPr>
        <w:t xml:space="preserve">Emerging infectious diseases </w:t>
      </w:r>
      <w:r>
        <w:rPr>
          <w:rFonts w:ascii="Arial" w:hAnsi="Arial" w:cs="Arial"/>
        </w:rPr>
        <w:t>2014, 20(1):45.</w:t>
      </w:r>
    </w:p>
    <w:p>
      <w:r>
        <w:rPr>
          <w:rFonts w:cs="Arial"/>
        </w:rPr>
        <w:fldChar w:fldCharType="end"/>
      </w:r>
      <w:r>
        <w:br w:type="page"/>
      </w:r>
    </w:p>
    <w:p>
      <w:pPr>
        <w:pStyle w:val="2"/>
      </w:pPr>
      <w:bookmarkStart w:id="101" w:name="_Toc519069721"/>
      <w:r>
        <w:rPr>
          <w:rFonts w:hint="eastAsia"/>
        </w:rPr>
        <w:t>附录</w:t>
      </w:r>
      <w:bookmarkEnd w:id="101"/>
    </w:p>
    <w:p>
      <w:pPr>
        <w:pStyle w:val="3"/>
        <w:numPr>
          <w:ilvl w:val="0"/>
          <w:numId w:val="12"/>
        </w:numPr>
      </w:pPr>
      <w:bookmarkStart w:id="102" w:name="_Toc519069722"/>
      <w:r>
        <w:rPr>
          <w:rFonts w:hint="eastAsia"/>
        </w:rPr>
        <w:t>调查问卷</w:t>
      </w:r>
      <w:bookmarkEnd w:id="102"/>
    </w:p>
    <w:p/>
    <w:p>
      <w:pPr>
        <w:pStyle w:val="17"/>
        <w:rPr>
          <w:rFonts w:eastAsia="宋体"/>
          <w:sz w:val="22"/>
          <w:szCs w:val="22"/>
        </w:rPr>
      </w:pPr>
      <w:r>
        <w:rPr>
          <w:rFonts w:hint="eastAsia" w:eastAsia="宋体"/>
          <w:sz w:val="22"/>
          <w:szCs w:val="22"/>
        </w:rPr>
        <w:t>临床微生物实验室</w:t>
      </w:r>
    </w:p>
    <w:p>
      <w:pPr>
        <w:pStyle w:val="17"/>
        <w:rPr>
          <w:rFonts w:eastAsia="宋体"/>
          <w:sz w:val="22"/>
          <w:szCs w:val="22"/>
        </w:rPr>
      </w:pPr>
      <w:r>
        <w:rPr>
          <w:rFonts w:hint="eastAsia" w:eastAsia="宋体"/>
          <w:sz w:val="22"/>
          <w:szCs w:val="22"/>
        </w:rPr>
        <w:t>真菌检测能力基线调研问卷</w:t>
      </w:r>
    </w:p>
    <w:p>
      <w:pPr>
        <w:rPr>
          <w:szCs w:val="22"/>
        </w:rPr>
      </w:pPr>
      <w:r>
        <w:rPr>
          <w:rFonts w:hint="eastAsia"/>
          <w:szCs w:val="22"/>
        </w:rPr>
        <w:t>此次调研问卷不排名、不评比，只是为了了解我国二级以上综合医院临床微生物实验室真菌检测能力现状和基础数据，相关填写人员要如实填写调研问卷，保证填报数据的真实、准确，严禁弄虚作假和篡改调研数据。</w:t>
      </w:r>
    </w:p>
    <w:p>
      <w:pPr>
        <w:rPr>
          <w:szCs w:val="22"/>
        </w:rPr>
      </w:pPr>
      <w:r>
        <w:rPr>
          <w:rFonts w:hint="eastAsia"/>
          <w:szCs w:val="22"/>
        </w:rPr>
        <w:t>谢谢您的配合和大力支持！</w:t>
      </w:r>
    </w:p>
    <w:p>
      <w:pPr>
        <w:rPr>
          <w:szCs w:val="22"/>
        </w:rPr>
      </w:pPr>
    </w:p>
    <w:p>
      <w:pPr>
        <w:pStyle w:val="17"/>
        <w:rPr>
          <w:rFonts w:eastAsia="宋体"/>
          <w:sz w:val="22"/>
          <w:szCs w:val="22"/>
        </w:rPr>
      </w:pPr>
      <w:r>
        <w:rPr>
          <w:rFonts w:hint="eastAsia" w:eastAsia="宋体"/>
          <w:sz w:val="22"/>
          <w:szCs w:val="22"/>
        </w:rPr>
        <w:t>您的个人信息</w:t>
      </w:r>
    </w:p>
    <w:p>
      <w:pPr>
        <w:rPr>
          <w:szCs w:val="22"/>
        </w:rPr>
      </w:pPr>
      <w:r>
        <w:rPr>
          <w:rFonts w:hint="eastAsia"/>
          <w:szCs w:val="22"/>
        </w:rPr>
        <w:t>1. 您的联系方式*</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您的姓名：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您的手机：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您的邮箱：</w:t>
            </w:r>
          </w:p>
        </w:tc>
      </w:tr>
    </w:tbl>
    <w:p>
      <w:pPr>
        <w:rPr>
          <w:szCs w:val="22"/>
        </w:rPr>
      </w:pPr>
    </w:p>
    <w:p>
      <w:pPr>
        <w:rPr>
          <w:szCs w:val="22"/>
        </w:rPr>
      </w:pPr>
      <w:r>
        <w:rPr>
          <w:rFonts w:hint="eastAsia"/>
          <w:szCs w:val="22"/>
        </w:rPr>
        <w:t>2. 您的专业方向*</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临床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w:t>
            </w:r>
            <w:bookmarkStart w:id="103" w:name="OLE_LINK1"/>
            <w:bookmarkStart w:id="104" w:name="OLE_LINK2"/>
            <w:r>
              <w:rPr>
                <w:rFonts w:hint="eastAsia"/>
                <w:szCs w:val="22"/>
              </w:rPr>
              <w:t>（请注明）</w:t>
            </w:r>
            <w:bookmarkEnd w:id="103"/>
            <w:bookmarkEnd w:id="104"/>
          </w:p>
        </w:tc>
      </w:tr>
    </w:tbl>
    <w:p>
      <w:pPr>
        <w:rPr>
          <w:szCs w:val="22"/>
        </w:rPr>
      </w:pPr>
    </w:p>
    <w:p>
      <w:pPr>
        <w:rPr>
          <w:szCs w:val="22"/>
        </w:rPr>
      </w:pPr>
      <w:r>
        <w:rPr>
          <w:rFonts w:hint="eastAsia"/>
          <w:szCs w:val="22"/>
        </w:rPr>
        <w:t>3. 您的职务是*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副处长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专业组长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专业副组长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4. 您的职称是*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副主任医师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主治医师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住院医师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副研究员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助理研究员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实习研究员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主任技师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副主任技师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主管技师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pStyle w:val="17"/>
        <w:rPr>
          <w:rFonts w:eastAsia="宋体"/>
          <w:sz w:val="22"/>
          <w:szCs w:val="22"/>
        </w:rPr>
      </w:pPr>
      <w:r>
        <w:rPr>
          <w:rFonts w:hint="eastAsia" w:eastAsia="宋体"/>
          <w:sz w:val="22"/>
          <w:szCs w:val="22"/>
        </w:rPr>
        <w:t>你所在医院的信息</w:t>
      </w:r>
    </w:p>
    <w:p>
      <w:pPr>
        <w:rPr>
          <w:szCs w:val="22"/>
        </w:rPr>
      </w:pPr>
      <w:r>
        <w:rPr>
          <w:rFonts w:hint="eastAsia"/>
          <w:szCs w:val="22"/>
        </w:rPr>
        <w:t>1. 您所在医院的名称*</w:t>
      </w:r>
    </w:p>
    <w:p>
      <w:pPr>
        <w:rPr>
          <w:szCs w:val="22"/>
        </w:rPr>
      </w:pPr>
      <w:r>
        <w:rPr>
          <w:rFonts w:hint="eastAsia"/>
          <w:szCs w:val="22"/>
        </w:rPr>
        <w:t>2. 您所在医院的类别*</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jc w:val="left"/>
              <w:rPr>
                <w:szCs w:val="22"/>
              </w:rPr>
            </w:pPr>
            <w:r>
              <w:rPr>
                <w:rFonts w:hint="eastAsia"/>
                <w:szCs w:val="22"/>
              </w:rPr>
              <w:t>综合医院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jc w:val="left"/>
              <w:rPr>
                <w:szCs w:val="22"/>
              </w:rPr>
            </w:pPr>
            <w:r>
              <w:rPr>
                <w:rFonts w:hint="eastAsia"/>
                <w:szCs w:val="22"/>
              </w:rPr>
              <w:t>专科医院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jc w:val="left"/>
              <w:rPr>
                <w:szCs w:val="22"/>
              </w:rPr>
            </w:pPr>
            <w:r>
              <w:rPr>
                <w:rFonts w:hint="eastAsia"/>
                <w:szCs w:val="22"/>
              </w:rPr>
              <w:t>请注明（专科方向）</w:t>
            </w:r>
          </w:p>
        </w:tc>
      </w:tr>
    </w:tbl>
    <w:p>
      <w:pPr>
        <w:rPr>
          <w:szCs w:val="22"/>
        </w:rPr>
      </w:pPr>
    </w:p>
    <w:p>
      <w:pPr>
        <w:rPr>
          <w:szCs w:val="22"/>
        </w:rPr>
      </w:pPr>
      <w:r>
        <w:rPr>
          <w:rFonts w:hint="eastAsia"/>
          <w:szCs w:val="22"/>
        </w:rPr>
        <w:t>3. 您所在医院的等级*</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240" w:lineRule="auto"/>
              <w:jc w:val="left"/>
              <w:rPr>
                <w:szCs w:val="22"/>
              </w:rPr>
            </w:pPr>
            <w:r>
              <w:rPr>
                <w:rFonts w:hint="eastAsia"/>
                <w:szCs w:val="22"/>
              </w:rPr>
              <w:t>三级甲等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240" w:lineRule="auto"/>
              <w:jc w:val="left"/>
              <w:rPr>
                <w:szCs w:val="22"/>
              </w:rPr>
            </w:pPr>
            <w:r>
              <w:rPr>
                <w:rFonts w:hint="eastAsia"/>
                <w:szCs w:val="22"/>
              </w:rPr>
              <w:t>三级乙等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240" w:lineRule="auto"/>
              <w:jc w:val="left"/>
              <w:rPr>
                <w:szCs w:val="22"/>
              </w:rPr>
            </w:pPr>
            <w:r>
              <w:rPr>
                <w:rFonts w:hint="eastAsia"/>
                <w:szCs w:val="22"/>
              </w:rPr>
              <w:t>三级丙等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240" w:lineRule="auto"/>
              <w:jc w:val="left"/>
              <w:rPr>
                <w:szCs w:val="22"/>
              </w:rPr>
            </w:pPr>
            <w:r>
              <w:rPr>
                <w:rFonts w:hint="eastAsia"/>
                <w:szCs w:val="22"/>
              </w:rPr>
              <w:t>三级综合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240" w:lineRule="auto"/>
              <w:jc w:val="left"/>
              <w:rPr>
                <w:szCs w:val="22"/>
              </w:rPr>
            </w:pPr>
            <w:r>
              <w:rPr>
                <w:rFonts w:hint="eastAsia"/>
                <w:szCs w:val="22"/>
              </w:rPr>
              <w:t>二级医院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240" w:lineRule="auto"/>
              <w:jc w:val="left"/>
              <w:rPr>
                <w:szCs w:val="22"/>
              </w:rPr>
            </w:pPr>
            <w:r>
              <w:rPr>
                <w:rFonts w:hint="eastAsia"/>
                <w:szCs w:val="22"/>
              </w:rPr>
              <w:t>一级医院</w:t>
            </w:r>
          </w:p>
        </w:tc>
      </w:tr>
    </w:tbl>
    <w:p>
      <w:pPr>
        <w:rPr>
          <w:szCs w:val="22"/>
        </w:rPr>
      </w:pPr>
    </w:p>
    <w:p>
      <w:pPr>
        <w:rPr>
          <w:szCs w:val="22"/>
        </w:rPr>
      </w:pPr>
      <w:r>
        <w:rPr>
          <w:rFonts w:hint="eastAsia"/>
          <w:szCs w:val="22"/>
        </w:rPr>
        <w:t>4. 您所在医院的其他信息（2017年全年）*</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医院床位总数：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年门诊病人数：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年出院病人数：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年手术病人数：</w:t>
            </w:r>
          </w:p>
        </w:tc>
      </w:tr>
    </w:tbl>
    <w:p>
      <w:pPr>
        <w:rPr>
          <w:szCs w:val="22"/>
        </w:rPr>
      </w:pPr>
    </w:p>
    <w:p>
      <w:pPr>
        <w:rPr>
          <w:szCs w:val="22"/>
        </w:rPr>
      </w:pPr>
      <w:r>
        <w:rPr>
          <w:rFonts w:hint="eastAsia"/>
          <w:szCs w:val="22"/>
        </w:rPr>
        <w:t>5. 您所在医院的检验科主任从事的专业方向*[多选题]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临检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微生物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临床感染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ind w:firstLine="0"/>
        <w:rPr>
          <w:szCs w:val="22"/>
        </w:rPr>
      </w:pPr>
    </w:p>
    <w:p>
      <w:pPr>
        <w:pStyle w:val="17"/>
        <w:rPr>
          <w:rFonts w:eastAsia="宋体"/>
          <w:sz w:val="22"/>
          <w:szCs w:val="22"/>
        </w:rPr>
      </w:pPr>
      <w:r>
        <w:rPr>
          <w:rFonts w:hint="eastAsia" w:eastAsia="宋体"/>
          <w:sz w:val="22"/>
          <w:szCs w:val="22"/>
        </w:rPr>
        <w:t>实验室基本信息</w:t>
      </w:r>
    </w:p>
    <w:p>
      <w:pPr>
        <w:rPr>
          <w:szCs w:val="22"/>
        </w:rPr>
      </w:pPr>
      <w:r>
        <w:rPr>
          <w:rFonts w:hint="eastAsia"/>
          <w:szCs w:val="22"/>
        </w:rPr>
        <w:t>1. 检验科工作区域面积*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&lt;100平方米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100-500平方米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500-1000平方米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&gt;1000平方米</w:t>
            </w:r>
          </w:p>
        </w:tc>
      </w:tr>
    </w:tbl>
    <w:p>
      <w:pPr>
        <w:rPr>
          <w:szCs w:val="22"/>
        </w:rPr>
      </w:pPr>
    </w:p>
    <w:p>
      <w:pPr>
        <w:rPr>
          <w:szCs w:val="22"/>
        </w:rPr>
      </w:pPr>
      <w:r>
        <w:rPr>
          <w:rFonts w:hint="eastAsia"/>
          <w:szCs w:val="22"/>
        </w:rPr>
        <w:t>2. 微生物工作区域面积*</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&lt;20平方米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20-100平方米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100-500平方米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&gt;500平方米</w:t>
            </w:r>
          </w:p>
        </w:tc>
      </w:tr>
    </w:tbl>
    <w:p>
      <w:pPr>
        <w:rPr>
          <w:szCs w:val="22"/>
        </w:rPr>
      </w:pPr>
    </w:p>
    <w:p>
      <w:pPr>
        <w:rPr>
          <w:szCs w:val="22"/>
        </w:rPr>
      </w:pPr>
      <w:r>
        <w:rPr>
          <w:rFonts w:hint="eastAsia"/>
          <w:szCs w:val="22"/>
        </w:rPr>
        <w:t>3. 是否有独立真菌工作区域*</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spacing w:line="240" w:lineRule="auto"/>
              <w:rPr>
                <w:szCs w:val="22"/>
              </w:rPr>
            </w:pPr>
            <w:r>
              <w:rPr>
                <w:rFonts w:hint="eastAsia"/>
                <w:szCs w:val="22"/>
              </w:rPr>
              <w:t>无独立真菌工作区域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rPr>
                <w:szCs w:val="22"/>
              </w:rPr>
            </w:pPr>
            <w:r>
              <w:rPr>
                <w:rFonts w:hint="eastAsia"/>
                <w:szCs w:val="22"/>
              </w:rPr>
              <w:t xml:space="preserve">有独立真菌工作区域     </w:t>
            </w:r>
          </w:p>
        </w:tc>
        <w:tc>
          <w:tcPr>
            <w:tcW w:w="4261" w:type="dxa"/>
          </w:tcPr>
          <w:p>
            <w:pPr>
              <w:spacing w:line="240" w:lineRule="auto"/>
              <w:rPr>
                <w:szCs w:val="22"/>
              </w:rPr>
            </w:pPr>
            <w:r>
              <w:rPr>
                <w:rFonts w:hint="eastAsia"/>
                <w:szCs w:val="22"/>
              </w:rPr>
              <w:t>请填写面积（平方米）</w:t>
            </w:r>
          </w:p>
        </w:tc>
      </w:tr>
    </w:tbl>
    <w:p>
      <w:pPr>
        <w:rPr>
          <w:szCs w:val="22"/>
        </w:rPr>
      </w:pPr>
    </w:p>
    <w:p>
      <w:pPr>
        <w:rPr>
          <w:szCs w:val="22"/>
        </w:rPr>
      </w:pPr>
      <w:r>
        <w:rPr>
          <w:rFonts w:hint="eastAsia"/>
          <w:szCs w:val="22"/>
        </w:rPr>
        <w:t>4. 是否有独立真菌检测安全柜*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有公用真菌检测安全柜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有独立真菌检测安全柜</w:t>
            </w:r>
          </w:p>
        </w:tc>
      </w:tr>
    </w:tbl>
    <w:p>
      <w:pPr>
        <w:rPr>
          <w:szCs w:val="22"/>
        </w:rPr>
      </w:pPr>
    </w:p>
    <w:p>
      <w:pPr>
        <w:rPr>
          <w:szCs w:val="22"/>
        </w:rPr>
      </w:pPr>
      <w:r>
        <w:rPr>
          <w:rFonts w:hint="eastAsia"/>
          <w:szCs w:val="22"/>
        </w:rPr>
        <w:t>5. 是否有独立真菌培养孵箱*[多选题]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有公用真菌培养孵箱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有独立真菌培养孵箱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有独立专用28°C真菌培养孵箱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有独立专用35°C真菌培养孵箱</w:t>
            </w:r>
          </w:p>
        </w:tc>
      </w:tr>
    </w:tbl>
    <w:p>
      <w:pPr>
        <w:rPr>
          <w:szCs w:val="22"/>
        </w:rPr>
      </w:pPr>
    </w:p>
    <w:p>
      <w:pPr>
        <w:rPr>
          <w:szCs w:val="22"/>
        </w:rPr>
      </w:pPr>
      <w:r>
        <w:rPr>
          <w:rFonts w:hint="eastAsia"/>
          <w:szCs w:val="22"/>
        </w:rPr>
        <w:t>6. 临床微生物实验室亚专业分布*[多选题]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真菌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病毒及非典型病原体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结核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感染免疫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寄生虫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ind w:firstLine="0"/>
      </w:pPr>
    </w:p>
    <w:p>
      <w:pPr>
        <w:pStyle w:val="17"/>
        <w:rPr>
          <w:rFonts w:eastAsia="宋体"/>
          <w:sz w:val="22"/>
          <w:szCs w:val="22"/>
        </w:rPr>
      </w:pPr>
      <w:r>
        <w:rPr>
          <w:rFonts w:hint="eastAsia" w:eastAsia="宋体"/>
          <w:sz w:val="22"/>
          <w:szCs w:val="22"/>
        </w:rPr>
        <w:t>临床微生物实验室人员信息</w:t>
      </w:r>
    </w:p>
    <w:p>
      <w:pPr>
        <w:rPr>
          <w:szCs w:val="22"/>
        </w:rPr>
      </w:pPr>
      <w:r>
        <w:rPr>
          <w:rFonts w:hint="eastAsia"/>
          <w:szCs w:val="22"/>
        </w:rPr>
        <w:t>1. 临床微生物实验室总体工作人员中*</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正式职工人数：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合同职工人数：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退休返聘人数：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进修实习人数：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住院医师人数：</w:t>
            </w:r>
          </w:p>
        </w:tc>
      </w:tr>
    </w:tbl>
    <w:p>
      <w:pPr>
        <w:rPr>
          <w:szCs w:val="22"/>
        </w:rPr>
      </w:pPr>
    </w:p>
    <w:p>
      <w:pPr>
        <w:rPr>
          <w:szCs w:val="22"/>
        </w:rPr>
      </w:pPr>
      <w:r>
        <w:rPr>
          <w:rFonts w:hint="eastAsia"/>
          <w:szCs w:val="22"/>
        </w:rPr>
        <w:t>2. 微生物组能够独立从事真菌检测工作的人员中*</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专职岗位人数：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兼职岗位人数：</w:t>
            </w:r>
          </w:p>
        </w:tc>
      </w:tr>
    </w:tbl>
    <w:p>
      <w:pPr>
        <w:rPr>
          <w:szCs w:val="22"/>
        </w:rPr>
      </w:pPr>
    </w:p>
    <w:p>
      <w:pPr>
        <w:rPr>
          <w:szCs w:val="22"/>
        </w:rPr>
      </w:pPr>
      <w:r>
        <w:rPr>
          <w:rFonts w:hint="eastAsia"/>
          <w:szCs w:val="22"/>
        </w:rPr>
        <w:t>3. 微生物组能够独立从事真菌检测工作的总人数*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独立检测人数：</w:t>
            </w:r>
          </w:p>
        </w:tc>
      </w:tr>
    </w:tbl>
    <w:p>
      <w:pPr>
        <w:rPr>
          <w:szCs w:val="22"/>
        </w:rPr>
      </w:pPr>
    </w:p>
    <w:p>
      <w:pPr>
        <w:rPr>
          <w:szCs w:val="22"/>
        </w:rPr>
      </w:pPr>
      <w:r>
        <w:rPr>
          <w:rFonts w:hint="eastAsia"/>
          <w:szCs w:val="22"/>
        </w:rPr>
        <w:t>4. 微生物组能够独立从事真菌检测工作的人员中*</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正式职工人数：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合同职工人数：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退休返聘人数：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实习进修人数：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住院医师人数：</w:t>
            </w:r>
          </w:p>
        </w:tc>
      </w:tr>
    </w:tbl>
    <w:p>
      <w:pPr>
        <w:rPr>
          <w:szCs w:val="22"/>
        </w:rPr>
      </w:pPr>
    </w:p>
    <w:p>
      <w:pPr>
        <w:rPr>
          <w:szCs w:val="22"/>
        </w:rPr>
      </w:pPr>
      <w:r>
        <w:rPr>
          <w:rFonts w:hint="eastAsia"/>
          <w:szCs w:val="22"/>
        </w:rPr>
        <w:t>5. 微生物组能够独立从事真菌检测工作的人员中*</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大学专科人数：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大学本科人数：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硕士生级人数：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博士生及以上：</w:t>
            </w:r>
          </w:p>
        </w:tc>
      </w:tr>
    </w:tbl>
    <w:p>
      <w:pPr>
        <w:ind w:firstLine="0"/>
      </w:pPr>
    </w:p>
    <w:p>
      <w:pPr>
        <w:pStyle w:val="17"/>
        <w:rPr>
          <w:rFonts w:eastAsia="宋体"/>
          <w:sz w:val="22"/>
          <w:szCs w:val="22"/>
        </w:rPr>
      </w:pPr>
      <w:r>
        <w:rPr>
          <w:rFonts w:hint="eastAsia" w:eastAsia="宋体"/>
          <w:sz w:val="22"/>
          <w:szCs w:val="22"/>
        </w:rPr>
        <w:t>真菌检测基本信息</w:t>
      </w:r>
    </w:p>
    <w:p>
      <w:pPr>
        <w:rPr>
          <w:szCs w:val="22"/>
        </w:rPr>
      </w:pPr>
      <w:r>
        <w:rPr>
          <w:rFonts w:hint="eastAsia"/>
          <w:szCs w:val="22"/>
        </w:rPr>
        <w:t>1. 真菌检测送检量（2017年全年）*</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真菌涂片送检量：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真菌培养送检量：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真菌药敏送检量：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真菌血清送检量：</w:t>
            </w:r>
          </w:p>
        </w:tc>
      </w:tr>
    </w:tbl>
    <w:p>
      <w:pPr>
        <w:rPr>
          <w:szCs w:val="22"/>
        </w:rPr>
      </w:pPr>
    </w:p>
    <w:p>
      <w:pPr>
        <w:rPr>
          <w:szCs w:val="22"/>
        </w:rPr>
      </w:pPr>
      <w:r>
        <w:rPr>
          <w:rFonts w:hint="eastAsia"/>
          <w:szCs w:val="22"/>
        </w:rPr>
        <w:t>2. 真菌菌株保留期限（酵母菌）*</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&lt;1个月短暂留存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短期保留（1年以内）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长期保留（1年以上）</w:t>
            </w:r>
          </w:p>
        </w:tc>
      </w:tr>
    </w:tbl>
    <w:p>
      <w:pPr>
        <w:rPr>
          <w:szCs w:val="22"/>
        </w:rPr>
      </w:pPr>
    </w:p>
    <w:p>
      <w:pPr>
        <w:rPr>
          <w:szCs w:val="22"/>
        </w:rPr>
      </w:pPr>
      <w:r>
        <w:rPr>
          <w:rFonts w:hint="eastAsia"/>
          <w:szCs w:val="22"/>
        </w:rPr>
        <w:t>3. 真菌菌株保留期限（丝状真菌）*</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&lt;1个月短暂留存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短期保留（1年以内）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长期保留（1年以上）</w:t>
            </w:r>
          </w:p>
        </w:tc>
      </w:tr>
    </w:tbl>
    <w:p>
      <w:pPr>
        <w:rPr>
          <w:szCs w:val="22"/>
        </w:rPr>
      </w:pPr>
    </w:p>
    <w:p>
      <w:pPr>
        <w:pStyle w:val="17"/>
        <w:rPr>
          <w:rFonts w:eastAsia="宋体"/>
          <w:sz w:val="22"/>
          <w:szCs w:val="22"/>
        </w:rPr>
      </w:pPr>
      <w:r>
        <w:rPr>
          <w:rFonts w:hint="eastAsia" w:eastAsia="宋体"/>
          <w:sz w:val="22"/>
          <w:szCs w:val="22"/>
        </w:rPr>
        <w:t>真菌检测鉴定信息</w:t>
      </w:r>
    </w:p>
    <w:p>
      <w:pPr>
        <w:rPr>
          <w:szCs w:val="22"/>
        </w:rPr>
      </w:pPr>
      <w:r>
        <w:rPr>
          <w:rFonts w:hint="eastAsia"/>
          <w:szCs w:val="22"/>
        </w:rPr>
        <w:t>1. 本医院内开展的真菌鉴定方法（酵母菌）[多选题]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不在本医院内进行真菌鉴定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显色培养基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手工生化实验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半自动鉴定试剂盒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全自动鉴定仪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MALDI-TOF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2. 送至其他医院开展的真菌鉴定方法（酵母菌）[多选题]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不送至其他医院进行真菌鉴定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显色培养基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手工生化实验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半自动鉴定试剂盒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全自动鉴定仪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MALDI-TOF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3. 送至第三方机构开展的真菌鉴定方法（酵母菌）[多选题]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不送至第三方机构进行真菌鉴定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显色培养基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手工生化实验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半自动鉴定试剂盒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全自动鉴定仪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szCs w:val="22"/>
              </w:rPr>
              <w:t>MALDI-TOF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4. 本医院内开展的真菌鉴定方法（丝状真菌）[多选题]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不在本医院内进行真菌鉴定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形态学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MALDI-TOF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5. 送至其他医院开展的真菌鉴定方法（丝状真菌）[多选题]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不送至其他医院进行真菌鉴定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形态学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MALDI-TOF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6. 送至第三方机构开展的真菌鉴定方法（丝状真菌）[多选题]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不送至第三方机构进行真菌鉴定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形态学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MALDI-TOF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pStyle w:val="17"/>
        <w:rPr>
          <w:rFonts w:eastAsia="宋体"/>
          <w:sz w:val="22"/>
          <w:szCs w:val="22"/>
        </w:rPr>
      </w:pPr>
      <w:r>
        <w:rPr>
          <w:rFonts w:hint="eastAsia" w:eastAsia="宋体"/>
          <w:sz w:val="22"/>
          <w:szCs w:val="22"/>
        </w:rPr>
        <w:t>真菌药敏试验信息</w:t>
      </w:r>
    </w:p>
    <w:p>
      <w:pPr>
        <w:rPr>
          <w:szCs w:val="22"/>
        </w:rPr>
      </w:pPr>
      <w:r>
        <w:rPr>
          <w:rFonts w:hint="eastAsia"/>
          <w:szCs w:val="22"/>
        </w:rPr>
        <w:t>1. 本医院内开展的药敏试验方法（酵母菌）[多选题]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不在本医院内进行药敏试验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纸片法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ATB fungus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Yeast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2. 送至其他医院开展的药敏试验方法（酵母菌）[多选题]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不送至其他医院进行药敏试验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纸片法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ATB fungus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Yeast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ind w:firstLine="0"/>
        <w:rPr>
          <w:szCs w:val="22"/>
        </w:rPr>
      </w:pPr>
    </w:p>
    <w:p>
      <w:pPr>
        <w:rPr>
          <w:szCs w:val="22"/>
        </w:rPr>
      </w:pPr>
      <w:r>
        <w:rPr>
          <w:rFonts w:hint="eastAsia"/>
          <w:szCs w:val="22"/>
        </w:rPr>
        <w:t>3. 送至第三方机构开展的药敏试验方法（酵母菌）[多选题]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不送至第三方机构进行药敏试验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纸片法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ATB fungus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Yeast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4. 本医院内开展的药敏试验方法（丝状真菌）[多选题]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不在本医院内进行药敏试验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纸片法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Yeast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5. 送至其他医院开展的药敏试验方法（丝状真菌）[多选题]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不送至其他医院进行药敏试验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纸片法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Yeast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6. 送至第三方机构开展的药敏试验方法（丝状真菌）[多选题]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不送至第三方机构进行药敏试验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纸片法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Yeast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pStyle w:val="17"/>
        <w:rPr>
          <w:rFonts w:eastAsia="宋体"/>
          <w:sz w:val="22"/>
          <w:szCs w:val="22"/>
        </w:rPr>
      </w:pPr>
      <w:r>
        <w:rPr>
          <w:rFonts w:hint="eastAsia" w:eastAsia="宋体"/>
          <w:sz w:val="22"/>
          <w:szCs w:val="22"/>
        </w:rPr>
        <w:t>真菌感染血清检测信息</w:t>
      </w:r>
    </w:p>
    <w:p>
      <w:pPr>
        <w:pStyle w:val="17"/>
        <w:rPr>
          <w:rFonts w:eastAsia="宋体"/>
          <w:sz w:val="22"/>
          <w:szCs w:val="22"/>
        </w:rPr>
      </w:pPr>
      <w:r>
        <w:rPr>
          <w:rFonts w:hint="eastAsia" w:eastAsia="宋体"/>
          <w:sz w:val="22"/>
          <w:szCs w:val="22"/>
        </w:rPr>
        <w:t>（请同时填写</w:t>
      </w:r>
      <w:r>
        <w:rPr>
          <w:rFonts w:ascii="Arial" w:hAnsi="Arial" w:eastAsia="宋体" w:cs="Arial"/>
          <w:sz w:val="22"/>
          <w:szCs w:val="22"/>
        </w:rPr>
        <w:t>2017</w:t>
      </w:r>
      <w:r>
        <w:rPr>
          <w:rFonts w:hint="eastAsia" w:eastAsia="宋体"/>
          <w:sz w:val="22"/>
          <w:szCs w:val="22"/>
        </w:rPr>
        <w:t>年全年检测数量）</w:t>
      </w:r>
    </w:p>
    <w:p>
      <w:pPr>
        <w:rPr>
          <w:szCs w:val="22"/>
        </w:rPr>
      </w:pPr>
      <w:r>
        <w:rPr>
          <w:rFonts w:hint="eastAsia"/>
          <w:szCs w:val="22"/>
        </w:rPr>
        <w:t>1. 本医院内开展的真菌感染血清学检测项目[多选题]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spacing w:line="240" w:lineRule="auto"/>
              <w:rPr>
                <w:szCs w:val="22"/>
              </w:rPr>
            </w:pPr>
            <w:r>
              <w:rPr>
                <w:rFonts w:hint="eastAsia"/>
                <w:szCs w:val="22"/>
              </w:rPr>
              <w:t>不在本医院内进行真菌感染血清学检测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G试验</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GM试验</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曲霉菌抗体</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念珠菌抗原</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念珠菌抗体</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隐球菌抗原</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其他</w:t>
            </w:r>
          </w:p>
        </w:tc>
        <w:tc>
          <w:tcPr>
            <w:tcW w:w="4261" w:type="dxa"/>
          </w:tcPr>
          <w:p>
            <w:pPr>
              <w:spacing w:line="240" w:lineRule="auto"/>
              <w:jc w:val="left"/>
              <w:rPr>
                <w:szCs w:val="22"/>
              </w:rPr>
            </w:pPr>
            <w:r>
              <w:rPr>
                <w:rFonts w:hint="eastAsia"/>
                <w:szCs w:val="22"/>
              </w:rPr>
              <w:t>请注明并填写检测数量</w:t>
            </w:r>
          </w:p>
        </w:tc>
      </w:tr>
    </w:tbl>
    <w:p>
      <w:pPr>
        <w:rPr>
          <w:szCs w:val="22"/>
        </w:rPr>
      </w:pPr>
    </w:p>
    <w:p>
      <w:pPr>
        <w:rPr>
          <w:szCs w:val="22"/>
        </w:rPr>
      </w:pPr>
      <w:r>
        <w:rPr>
          <w:rFonts w:hint="eastAsia"/>
          <w:szCs w:val="22"/>
        </w:rPr>
        <w:t>2. 送至其他医院开展的真菌感染血清学检测项目[多选题]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spacing w:line="240" w:lineRule="auto"/>
              <w:rPr>
                <w:szCs w:val="22"/>
              </w:rPr>
            </w:pPr>
            <w:r>
              <w:rPr>
                <w:rFonts w:hint="eastAsia"/>
                <w:szCs w:val="22"/>
              </w:rPr>
              <w:t>不在本医院内进行真菌感染血清学检测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G试验</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GM试验</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曲霉菌抗体</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念珠菌抗原</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念珠菌抗体</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隐球菌抗原</w:t>
            </w:r>
          </w:p>
        </w:tc>
        <w:tc>
          <w:tcPr>
            <w:tcW w:w="4261" w:type="dxa"/>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240" w:lineRule="auto"/>
              <w:jc w:val="left"/>
              <w:rPr>
                <w:szCs w:val="22"/>
              </w:rPr>
            </w:pPr>
            <w:r>
              <w:rPr>
                <w:rFonts w:hint="eastAsia"/>
                <w:szCs w:val="22"/>
              </w:rPr>
              <w:t>其他</w:t>
            </w:r>
          </w:p>
        </w:tc>
        <w:tc>
          <w:tcPr>
            <w:tcW w:w="4261" w:type="dxa"/>
          </w:tcPr>
          <w:p>
            <w:pPr>
              <w:spacing w:line="240" w:lineRule="auto"/>
              <w:jc w:val="left"/>
              <w:rPr>
                <w:szCs w:val="22"/>
              </w:rPr>
            </w:pPr>
            <w:r>
              <w:rPr>
                <w:rFonts w:hint="eastAsia"/>
                <w:szCs w:val="22"/>
              </w:rPr>
              <w:t>请注明并填写检测数量</w:t>
            </w:r>
          </w:p>
        </w:tc>
      </w:tr>
    </w:tbl>
    <w:p>
      <w:pPr>
        <w:rPr>
          <w:szCs w:val="22"/>
        </w:rPr>
      </w:pPr>
    </w:p>
    <w:p>
      <w:pPr>
        <w:rPr>
          <w:szCs w:val="22"/>
        </w:rPr>
      </w:pPr>
      <w:r>
        <w:rPr>
          <w:rFonts w:hint="eastAsia"/>
          <w:szCs w:val="22"/>
        </w:rPr>
        <w:t>3. 送至第三方机构开展的真菌感染血清学检测项目[多选题]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pPr>
              <w:spacing w:line="240" w:lineRule="auto"/>
              <w:jc w:val="left"/>
              <w:rPr>
                <w:szCs w:val="22"/>
              </w:rPr>
            </w:pPr>
            <w:bookmarkStart w:id="105" w:name="OLE_LINK12"/>
            <w:bookmarkStart w:id="106" w:name="OLE_LINK11"/>
            <w:r>
              <w:rPr>
                <w:rFonts w:hint="eastAsia"/>
                <w:szCs w:val="22"/>
              </w:rPr>
              <w:t>不在本医院内进行真菌感染血清学检测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G试验</w:t>
            </w:r>
          </w:p>
        </w:tc>
        <w:tc>
          <w:tcPr>
            <w:tcW w:w="4261" w:type="dxa"/>
            <w:vAlign w:val="center"/>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GM试验</w:t>
            </w:r>
          </w:p>
        </w:tc>
        <w:tc>
          <w:tcPr>
            <w:tcW w:w="4261" w:type="dxa"/>
            <w:vAlign w:val="center"/>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曲霉菌抗体</w:t>
            </w:r>
          </w:p>
        </w:tc>
        <w:tc>
          <w:tcPr>
            <w:tcW w:w="4261" w:type="dxa"/>
            <w:vAlign w:val="center"/>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念珠菌抗原</w:t>
            </w:r>
          </w:p>
        </w:tc>
        <w:tc>
          <w:tcPr>
            <w:tcW w:w="4261" w:type="dxa"/>
            <w:vAlign w:val="center"/>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念珠菌抗体</w:t>
            </w:r>
          </w:p>
        </w:tc>
        <w:tc>
          <w:tcPr>
            <w:tcW w:w="4261" w:type="dxa"/>
            <w:vAlign w:val="center"/>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隐球菌抗原</w:t>
            </w:r>
          </w:p>
        </w:tc>
        <w:tc>
          <w:tcPr>
            <w:tcW w:w="4261" w:type="dxa"/>
            <w:vAlign w:val="center"/>
          </w:tcPr>
          <w:p>
            <w:pPr>
              <w:spacing w:line="240" w:lineRule="auto"/>
              <w:jc w:val="left"/>
              <w:rPr>
                <w:szCs w:val="22"/>
              </w:rPr>
            </w:pPr>
            <w:r>
              <w:rPr>
                <w:rFonts w:hint="eastAsia"/>
                <w:szCs w:val="22"/>
              </w:rPr>
              <w:t>请填写检测数量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spacing w:line="240" w:lineRule="auto"/>
              <w:jc w:val="left"/>
              <w:rPr>
                <w:szCs w:val="22"/>
              </w:rPr>
            </w:pPr>
            <w:r>
              <w:rPr>
                <w:rFonts w:hint="eastAsia"/>
                <w:szCs w:val="22"/>
              </w:rPr>
              <w:t>其他</w:t>
            </w:r>
          </w:p>
        </w:tc>
        <w:tc>
          <w:tcPr>
            <w:tcW w:w="4261" w:type="dxa"/>
            <w:vAlign w:val="center"/>
          </w:tcPr>
          <w:p>
            <w:pPr>
              <w:spacing w:line="240" w:lineRule="auto"/>
              <w:jc w:val="left"/>
              <w:rPr>
                <w:szCs w:val="22"/>
              </w:rPr>
            </w:pPr>
            <w:r>
              <w:rPr>
                <w:rFonts w:hint="eastAsia"/>
                <w:szCs w:val="22"/>
              </w:rPr>
              <w:t>请注明并填写检测数量</w:t>
            </w:r>
          </w:p>
        </w:tc>
      </w:tr>
      <w:bookmarkEnd w:id="105"/>
      <w:bookmarkEnd w:id="106"/>
    </w:tbl>
    <w:p>
      <w:pPr>
        <w:rPr>
          <w:szCs w:val="22"/>
        </w:rPr>
      </w:pPr>
    </w:p>
    <w:p>
      <w:pPr>
        <w:pStyle w:val="17"/>
        <w:rPr>
          <w:rFonts w:eastAsia="宋体"/>
          <w:sz w:val="22"/>
          <w:szCs w:val="22"/>
        </w:rPr>
      </w:pPr>
      <w:r>
        <w:rPr>
          <w:rFonts w:hint="eastAsia" w:eastAsia="宋体"/>
          <w:sz w:val="22"/>
          <w:szCs w:val="22"/>
        </w:rPr>
        <w:t>真菌涂片镜检信息</w:t>
      </w:r>
    </w:p>
    <w:p>
      <w:pPr>
        <w:rPr>
          <w:szCs w:val="22"/>
        </w:rPr>
      </w:pPr>
      <w:r>
        <w:rPr>
          <w:rFonts w:hint="eastAsia"/>
          <w:szCs w:val="22"/>
        </w:rPr>
        <w:t>1. 本医院内开展的真菌涂片镜检方法[多选题]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不在本医院内进行真菌涂片镜检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KOH湿片法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墨汁染色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乳酸酚棉兰染色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六胺银染色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荧光染色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革兰染色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2. 送至其他医院开展的真菌涂片镜检方法[多选题]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不送至其他医院进行真菌涂片镜检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KOH湿片法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墨汁染色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乳酸酚棉兰染色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六胺银染色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荧光染色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革兰染色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3. 送至第三方机构开展的真菌涂片镜检方法[多选题]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不送至第三方机构进行真菌涂片镜检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KOH湿片法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墨汁染色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乳酸酚棉兰染色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六胺银染色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荧光染色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革兰染色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pStyle w:val="17"/>
        <w:rPr>
          <w:sz w:val="22"/>
          <w:szCs w:val="22"/>
        </w:rPr>
      </w:pPr>
      <w:r>
        <w:rPr>
          <w:rFonts w:hint="eastAsia" w:eastAsia="宋体"/>
          <w:sz w:val="22"/>
          <w:szCs w:val="22"/>
        </w:rPr>
        <w:t>真菌其他信息</w:t>
      </w:r>
    </w:p>
    <w:p>
      <w:pPr>
        <w:rPr>
          <w:szCs w:val="22"/>
        </w:rPr>
      </w:pPr>
      <w:r>
        <w:rPr>
          <w:rFonts w:hint="eastAsia"/>
          <w:szCs w:val="22"/>
        </w:rPr>
        <w:t>1. 是否参加真菌室间质评项目*[多选题]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不参加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szCs w:val="22"/>
              </w:rPr>
              <w:t>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卫计委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其他（请注明）</w:t>
            </w:r>
          </w:p>
        </w:tc>
      </w:tr>
    </w:tbl>
    <w:p>
      <w:pPr>
        <w:rPr>
          <w:szCs w:val="22"/>
        </w:rPr>
      </w:pPr>
    </w:p>
    <w:p>
      <w:pPr>
        <w:rPr>
          <w:szCs w:val="22"/>
        </w:rPr>
      </w:pPr>
      <w:r>
        <w:rPr>
          <w:rFonts w:hint="eastAsia"/>
          <w:szCs w:val="22"/>
        </w:rPr>
        <w:t>2. 是否从事真菌相关科学研究*</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240" w:lineRule="auto"/>
              <w:rPr>
                <w:szCs w:val="22"/>
              </w:rPr>
            </w:pPr>
            <w:r>
              <w:rPr>
                <w:rFonts w:hint="eastAsia"/>
                <w:szCs w:val="22"/>
              </w:rPr>
              <w:t>是</w:t>
            </w:r>
          </w:p>
        </w:tc>
      </w:tr>
    </w:tbl>
    <w:p/>
    <w:p>
      <w:pPr>
        <w:ind w:firstLine="0"/>
      </w:pPr>
    </w:p>
    <w:p>
      <w:pPr>
        <w:pStyle w:val="3"/>
        <w:numPr>
          <w:ilvl w:val="0"/>
          <w:numId w:val="12"/>
        </w:numPr>
      </w:pPr>
      <w:bookmarkStart w:id="107" w:name="_Toc519069723"/>
      <w:r>
        <w:rPr>
          <w:rFonts w:hint="eastAsia"/>
        </w:rPr>
        <w:t>各省排名前</w:t>
      </w:r>
      <w:r>
        <w:rPr>
          <w:rFonts w:ascii="Arial" w:hAnsi="Arial" w:cs="Arial"/>
        </w:rPr>
        <w:t>3</w:t>
      </w:r>
      <w:r>
        <w:rPr>
          <w:rFonts w:hint="eastAsia"/>
        </w:rPr>
        <w:t>名的医院列表（仅限参与调研的</w:t>
      </w:r>
      <w:r>
        <w:rPr>
          <w:rFonts w:ascii="Arial" w:hAnsi="Arial" w:cs="Arial"/>
        </w:rPr>
        <w:t>348</w:t>
      </w:r>
      <w:r>
        <w:rPr>
          <w:rFonts w:hint="eastAsia"/>
        </w:rPr>
        <w:t>家医院）</w:t>
      </w:r>
      <w:bookmarkEnd w:id="107"/>
    </w:p>
    <w:tbl>
      <w:tblPr>
        <w:tblStyle w:val="20"/>
        <w:tblW w:w="9015"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0"/>
        <w:gridCol w:w="5310"/>
        <w:gridCol w:w="1350"/>
        <w:gridCol w:w="1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blHeader/>
        </w:trPr>
        <w:tc>
          <w:tcPr>
            <w:tcW w:w="990" w:type="dxa"/>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省份</w:t>
            </w:r>
          </w:p>
        </w:tc>
        <w:tc>
          <w:tcPr>
            <w:tcW w:w="5310" w:type="dxa"/>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医院名称</w:t>
            </w:r>
          </w:p>
        </w:tc>
        <w:tc>
          <w:tcPr>
            <w:tcW w:w="1350"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城市</w:t>
            </w:r>
          </w:p>
        </w:tc>
        <w:tc>
          <w:tcPr>
            <w:tcW w:w="1365" w:type="dxa"/>
            <w:tcBorders>
              <w:top w:val="single" w:color="auto" w:sz="12" w:space="0"/>
              <w:bottom w:val="single" w:color="auto" w:sz="12" w:space="0"/>
            </w:tcBorders>
            <w:shd w:val="clear" w:color="auto" w:fill="770F43"/>
            <w:vAlign w:val="center"/>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综合得分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vAlign w:val="center"/>
          </w:tcPr>
          <w:p>
            <w:pPr>
              <w:spacing w:line="240" w:lineRule="auto"/>
              <w:ind w:firstLine="0"/>
              <w:jc w:val="left"/>
              <w:rPr>
                <w:b/>
                <w:szCs w:val="22"/>
              </w:rPr>
            </w:pPr>
            <w:r>
              <w:rPr>
                <w:rFonts w:hint="eastAsia"/>
                <w:b/>
                <w:szCs w:val="22"/>
              </w:rPr>
              <w:t>北京</w:t>
            </w:r>
          </w:p>
        </w:tc>
        <w:tc>
          <w:tcPr>
            <w:tcW w:w="5310" w:type="dxa"/>
            <w:tcBorders>
              <w:bottom w:val="single" w:color="auto" w:sz="8" w:space="0"/>
            </w:tcBorders>
            <w:shd w:val="clear" w:color="auto" w:fill="auto"/>
            <w:vAlign w:val="center"/>
          </w:tcPr>
          <w:p>
            <w:pPr>
              <w:spacing w:line="240" w:lineRule="auto"/>
              <w:ind w:firstLine="0"/>
              <w:jc w:val="left"/>
              <w:rPr>
                <w:rFonts w:ascii="宋体" w:hAnsi="宋体"/>
                <w:sz w:val="20"/>
                <w:szCs w:val="20"/>
              </w:rPr>
            </w:pPr>
            <w:r>
              <w:rPr>
                <w:rFonts w:ascii="宋体" w:hAnsi="宋体" w:cs="Calibri"/>
                <w:color w:val="000000"/>
                <w:szCs w:val="22"/>
              </w:rPr>
              <w:t xml:space="preserve">北京协和医院                    </w:t>
            </w:r>
          </w:p>
        </w:tc>
        <w:tc>
          <w:tcPr>
            <w:tcW w:w="1350" w:type="dxa"/>
            <w:tcBorders>
              <w:bottom w:val="single" w:color="auto" w:sz="8" w:space="0"/>
            </w:tcBorders>
            <w:vAlign w:val="center"/>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Calibri"/>
                <w:color w:val="000000" w:themeColor="text1"/>
                <w:kern w:val="24"/>
                <w:szCs w:val="22"/>
                <w14:textFill>
                  <w14:solidFill>
                    <w14:schemeClr w14:val="tx1"/>
                  </w14:solidFill>
                </w14:textFill>
              </w:rPr>
              <w:t>北京</w:t>
            </w:r>
          </w:p>
        </w:tc>
        <w:tc>
          <w:tcPr>
            <w:tcW w:w="1365" w:type="dxa"/>
            <w:tcBorders>
              <w:bottom w:val="single" w:color="auto" w:sz="8" w:space="0"/>
            </w:tcBorders>
            <w:shd w:val="clear" w:color="auto" w:fill="auto"/>
            <w:vAlign w:val="center"/>
          </w:tcPr>
          <w:p>
            <w:pPr>
              <w:spacing w:line="240" w:lineRule="auto"/>
              <w:ind w:firstLine="0"/>
              <w:jc w:val="center"/>
              <w:rPr>
                <w:rFonts w:cs="Arial"/>
                <w:szCs w:val="22"/>
              </w:rPr>
            </w:pPr>
            <w:r>
              <w:rPr>
                <w:rFonts w:cs="Arial"/>
                <w:szCs w:val="22"/>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b/>
                <w:szCs w:val="22"/>
              </w:rPr>
            </w:pPr>
          </w:p>
        </w:tc>
        <w:tc>
          <w:tcPr>
            <w:tcW w:w="5310" w:type="dxa"/>
            <w:tcBorders>
              <w:bottom w:val="single" w:color="auto" w:sz="8" w:space="0"/>
            </w:tcBorders>
            <w:shd w:val="clear" w:color="auto" w:fill="auto"/>
            <w:vAlign w:val="center"/>
          </w:tcPr>
          <w:p>
            <w:pPr>
              <w:spacing w:line="240" w:lineRule="auto"/>
              <w:ind w:firstLine="0"/>
              <w:jc w:val="left"/>
              <w:rPr>
                <w:rFonts w:ascii="宋体" w:hAnsi="宋体"/>
                <w:szCs w:val="22"/>
              </w:rPr>
            </w:pPr>
            <w:r>
              <w:rPr>
                <w:rFonts w:hint="eastAsia" w:ascii="宋体" w:hAnsi="宋体"/>
                <w:szCs w:val="22"/>
              </w:rPr>
              <w:t>中日友好医院</w:t>
            </w:r>
          </w:p>
        </w:tc>
        <w:tc>
          <w:tcPr>
            <w:tcW w:w="1350" w:type="dxa"/>
            <w:tcBorders>
              <w:bottom w:val="single" w:color="auto" w:sz="8" w:space="0"/>
            </w:tcBorders>
            <w:vAlign w:val="center"/>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Calibri"/>
                <w:bCs/>
                <w:color w:val="000000" w:themeColor="text1"/>
                <w:kern w:val="24"/>
                <w:szCs w:val="22"/>
                <w14:textFill>
                  <w14:solidFill>
                    <w14:schemeClr w14:val="tx1"/>
                  </w14:solidFill>
                </w14:textFill>
              </w:rPr>
              <w:t>北京</w:t>
            </w:r>
          </w:p>
        </w:tc>
        <w:tc>
          <w:tcPr>
            <w:tcW w:w="1365" w:type="dxa"/>
            <w:tcBorders>
              <w:bottom w:val="single" w:color="auto" w:sz="8" w:space="0"/>
            </w:tcBorders>
            <w:shd w:val="clear" w:color="auto" w:fill="auto"/>
            <w:vAlign w:val="center"/>
          </w:tcPr>
          <w:p>
            <w:pPr>
              <w:spacing w:line="240" w:lineRule="auto"/>
              <w:ind w:firstLine="0"/>
              <w:jc w:val="center"/>
              <w:rPr>
                <w:rFonts w:cs="Arial"/>
                <w:szCs w:val="22"/>
              </w:rPr>
            </w:pPr>
            <w:r>
              <w:rPr>
                <w:rFonts w:cs="Arial"/>
                <w:szCs w:val="22"/>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b/>
                <w:szCs w:val="22"/>
              </w:rPr>
            </w:pPr>
          </w:p>
        </w:tc>
        <w:tc>
          <w:tcPr>
            <w:tcW w:w="5310" w:type="dxa"/>
            <w:tcBorders>
              <w:top w:val="single" w:color="auto" w:sz="8" w:space="0"/>
              <w:bottom w:val="single" w:color="auto" w:sz="12" w:space="0"/>
            </w:tcBorders>
            <w:shd w:val="clear" w:color="auto" w:fill="auto"/>
            <w:vAlign w:val="center"/>
          </w:tcPr>
          <w:p>
            <w:pPr>
              <w:spacing w:line="240" w:lineRule="auto"/>
              <w:ind w:firstLine="0"/>
              <w:jc w:val="left"/>
              <w:rPr>
                <w:rFonts w:ascii="宋体" w:hAnsi="宋体"/>
                <w:sz w:val="20"/>
                <w:szCs w:val="20"/>
              </w:rPr>
            </w:pPr>
            <w:r>
              <w:rPr>
                <w:rFonts w:hint="eastAsia" w:ascii="宋体" w:hAnsi="宋体"/>
                <w:szCs w:val="22"/>
              </w:rPr>
              <w:t>北京医院</w:t>
            </w:r>
          </w:p>
        </w:tc>
        <w:tc>
          <w:tcPr>
            <w:tcW w:w="1350" w:type="dxa"/>
            <w:tcBorders>
              <w:top w:val="single" w:color="auto" w:sz="8" w:space="0"/>
              <w:bottom w:val="single" w:color="auto" w:sz="12" w:space="0"/>
            </w:tcBorders>
            <w:vAlign w:val="center"/>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Calibri"/>
                <w:bCs/>
                <w:color w:val="000000" w:themeColor="text1"/>
                <w:kern w:val="24"/>
                <w:szCs w:val="22"/>
                <w14:textFill>
                  <w14:solidFill>
                    <w14:schemeClr w14:val="tx1"/>
                  </w14:solidFill>
                </w14:textFill>
              </w:rPr>
              <w:t>北京</w:t>
            </w:r>
          </w:p>
        </w:tc>
        <w:tc>
          <w:tcPr>
            <w:tcW w:w="1365" w:type="dxa"/>
            <w:tcBorders>
              <w:top w:val="single" w:color="auto" w:sz="8" w:space="0"/>
              <w:bottom w:val="single" w:color="auto" w:sz="12" w:space="0"/>
            </w:tcBorders>
            <w:shd w:val="clear" w:color="auto" w:fill="auto"/>
            <w:vAlign w:val="center"/>
          </w:tcPr>
          <w:p>
            <w:pPr>
              <w:spacing w:line="240" w:lineRule="auto"/>
              <w:ind w:firstLine="0"/>
              <w:jc w:val="center"/>
              <w:rPr>
                <w:rFonts w:cs="Arial"/>
                <w:szCs w:val="22"/>
              </w:rPr>
            </w:pPr>
            <w:r>
              <w:rPr>
                <w:rFonts w:cs="Arial"/>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b/>
                <w:szCs w:val="22"/>
              </w:rPr>
            </w:pPr>
            <w:r>
              <w:rPr>
                <w:rFonts w:hint="eastAsia"/>
                <w:b/>
                <w:szCs w:val="22"/>
              </w:rPr>
              <w:t>辽宁</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sz w:val="20"/>
                <w:szCs w:val="20"/>
              </w:rPr>
            </w:pPr>
            <w:r>
              <w:rPr>
                <w:rFonts w:ascii="宋体" w:hAnsi="宋体" w:cs="Calibri"/>
                <w:color w:val="000000"/>
                <w:szCs w:val="22"/>
              </w:rPr>
              <w:t xml:space="preserve">中国医科大学附属第一医院        </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ascii="宋体" w:hAnsi="宋体" w:cs="Calibri"/>
                <w:color w:val="000000"/>
                <w:szCs w:val="22"/>
              </w:rPr>
              <w:t>沈</w:t>
            </w:r>
            <w:r>
              <w:rPr>
                <w:rFonts w:hint="eastAsia" w:ascii="宋体" w:hAnsi="宋体" w:cs="微软雅黑"/>
                <w:color w:val="000000"/>
                <w:szCs w:val="22"/>
              </w:rPr>
              <w:t>阳</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szCs w:val="22"/>
              </w:rPr>
            </w:pPr>
            <w:r>
              <w:rPr>
                <w:rFonts w:cs="Arial"/>
                <w:color w:val="000000"/>
                <w:szCs w:val="22"/>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b/>
                <w:szCs w:val="22"/>
              </w:rPr>
            </w:pPr>
          </w:p>
        </w:tc>
        <w:tc>
          <w:tcPr>
            <w:tcW w:w="5310" w:type="dxa"/>
            <w:tcBorders>
              <w:bottom w:val="single" w:color="auto" w:sz="8" w:space="0"/>
            </w:tcBorders>
            <w:shd w:val="clear" w:color="auto" w:fill="auto"/>
            <w:vAlign w:val="bottom"/>
          </w:tcPr>
          <w:p>
            <w:pPr>
              <w:spacing w:line="240" w:lineRule="auto"/>
              <w:ind w:firstLine="0"/>
              <w:jc w:val="left"/>
              <w:rPr>
                <w:rFonts w:ascii="宋体" w:hAnsi="宋体"/>
                <w:sz w:val="20"/>
                <w:szCs w:val="20"/>
              </w:rPr>
            </w:pPr>
            <w:r>
              <w:rPr>
                <w:rFonts w:hint="eastAsia" w:ascii="宋体" w:hAnsi="宋体" w:cs="微软雅黑"/>
                <w:color w:val="000000"/>
                <w:szCs w:val="22"/>
              </w:rPr>
              <w:t>大连医科大学附属第一医院</w:t>
            </w:r>
          </w:p>
        </w:tc>
        <w:tc>
          <w:tcPr>
            <w:tcW w:w="1350" w:type="dxa"/>
            <w:tcBorders>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大连</w:t>
            </w:r>
          </w:p>
        </w:tc>
        <w:tc>
          <w:tcPr>
            <w:tcW w:w="1365" w:type="dxa"/>
            <w:tcBorders>
              <w:bottom w:val="single" w:color="auto" w:sz="8" w:space="0"/>
            </w:tcBorders>
            <w:shd w:val="clear" w:color="auto" w:fill="auto"/>
            <w:vAlign w:val="bottom"/>
          </w:tcPr>
          <w:p>
            <w:pPr>
              <w:spacing w:line="240" w:lineRule="auto"/>
              <w:ind w:firstLine="0"/>
              <w:jc w:val="center"/>
              <w:rPr>
                <w:rFonts w:cs="Arial"/>
                <w:szCs w:val="22"/>
              </w:rPr>
            </w:pPr>
            <w:r>
              <w:rPr>
                <w:rFonts w:cs="Arial"/>
                <w:color w:val="000000"/>
                <w:szCs w:val="22"/>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sz w:val="20"/>
                <w:szCs w:val="20"/>
              </w:rPr>
            </w:pPr>
            <w:r>
              <w:rPr>
                <w:rFonts w:hint="eastAsia" w:ascii="宋体" w:hAnsi="宋体" w:cs="微软雅黑"/>
                <w:color w:val="000000"/>
                <w:szCs w:val="22"/>
              </w:rPr>
              <w:t>解放军第</w:t>
            </w:r>
            <w:r>
              <w:rPr>
                <w:rFonts w:cs="Arial"/>
                <w:color w:val="000000"/>
                <w:szCs w:val="22"/>
              </w:rPr>
              <w:t>202</w:t>
            </w:r>
            <w:r>
              <w:rPr>
                <w:rFonts w:hint="eastAsia" w:ascii="宋体" w:hAnsi="宋体" w:cs="微软雅黑"/>
                <w:color w:val="000000"/>
                <w:szCs w:val="22"/>
              </w:rPr>
              <w:t>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沈阳</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szCs w:val="22"/>
              </w:rPr>
            </w:pPr>
            <w:r>
              <w:rPr>
                <w:rFonts w:cs="Arial"/>
                <w:color w:val="000000"/>
                <w:szCs w:val="22"/>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b/>
                <w:szCs w:val="22"/>
              </w:rPr>
            </w:pPr>
            <w:r>
              <w:rPr>
                <w:rFonts w:hint="eastAsia"/>
                <w:b/>
                <w:szCs w:val="22"/>
              </w:rPr>
              <w:t>内蒙</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szCs w:val="22"/>
              </w:rPr>
            </w:pPr>
            <w:r>
              <w:rPr>
                <w:rFonts w:ascii="宋体" w:hAnsi="宋体" w:cs="Calibri"/>
                <w:color w:val="000000"/>
                <w:szCs w:val="22"/>
              </w:rPr>
              <w:t>内蒙古医科大学附属医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ascii="宋体" w:hAnsi="宋体" w:cs="Calibri"/>
                <w:color w:val="000000"/>
                <w:szCs w:val="22"/>
              </w:rPr>
              <w:t>呼和浩特</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内蒙古包钢医院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包头</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szCs w:val="22"/>
              </w:rPr>
            </w:pPr>
            <w:r>
              <w:rPr>
                <w:rFonts w:cs="Arial"/>
                <w:color w:val="000000"/>
                <w:szCs w:val="22"/>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内蒙古巴彦卓尔医院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Calibri"/>
                <w:bCs/>
                <w:color w:val="000000" w:themeColor="text1"/>
                <w:kern w:val="24"/>
                <w:szCs w:val="22"/>
                <w14:textFill>
                  <w14:solidFill>
                    <w14:schemeClr w14:val="tx1"/>
                  </w14:solidFill>
                </w14:textFill>
              </w:rPr>
            </w:pPr>
            <w:r>
              <w:rPr>
                <w:rFonts w:hint="eastAsia" w:ascii="宋体" w:hAnsi="宋体" w:cs="微软雅黑"/>
                <w:color w:val="000000"/>
                <w:szCs w:val="22"/>
              </w:rPr>
              <w:t>巴彦卓尔</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szCs w:val="22"/>
              </w:rPr>
            </w:pPr>
            <w:r>
              <w:rPr>
                <w:rFonts w:cs="Arial"/>
                <w:color w:val="000000"/>
                <w:szCs w:val="22"/>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b/>
                <w:szCs w:val="22"/>
              </w:rPr>
            </w:pPr>
            <w:r>
              <w:rPr>
                <w:rFonts w:hint="eastAsia"/>
                <w:b/>
                <w:szCs w:val="22"/>
              </w:rPr>
              <w:t>天津</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天津市第一中心医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天</w:t>
            </w:r>
            <w:r>
              <w:rPr>
                <w:rFonts w:hint="eastAsia" w:ascii="宋体" w:hAnsi="宋体" w:cs="微软雅黑"/>
                <w:color w:val="000000"/>
                <w:szCs w:val="22"/>
              </w:rPr>
              <w:t>津</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天津市海河医院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天津</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天津市第三中心医院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天津</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b/>
                <w:szCs w:val="22"/>
              </w:rPr>
            </w:pPr>
            <w:r>
              <w:rPr>
                <w:rFonts w:hint="eastAsia"/>
                <w:b/>
                <w:szCs w:val="22"/>
              </w:rPr>
              <w:t>河北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河北医科大学第二医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石家庄</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华北理工大学附属医院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唐山</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邢台市人民医院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邢台</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b/>
                <w:szCs w:val="22"/>
              </w:rPr>
            </w:pPr>
            <w:r>
              <w:rPr>
                <w:rFonts w:hint="eastAsia"/>
                <w:b/>
                <w:szCs w:val="22"/>
              </w:rPr>
              <w:t>黑龙江</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哈尔滨医科大学附属第四医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哈尔</w:t>
            </w:r>
            <w:r>
              <w:rPr>
                <w:rFonts w:hint="eastAsia" w:ascii="宋体" w:hAnsi="宋体" w:cs="微软雅黑"/>
                <w:color w:val="000000"/>
                <w:szCs w:val="22"/>
              </w:rPr>
              <w:t>滨</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哈尔滨医科大学附属第二医院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哈尔滨</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哈尔滨市一院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哈尔滨</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吉林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吉林大学中日联谊医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长</w:t>
            </w:r>
            <w:r>
              <w:rPr>
                <w:rFonts w:hint="eastAsia" w:ascii="宋体" w:hAnsi="宋体" w:cs="微软雅黑"/>
                <w:color w:val="000000"/>
                <w:szCs w:val="22"/>
              </w:rPr>
              <w:t>春</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吉林大学第一医院分院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长春</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延边大学附属医院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延边</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山西</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临汾市第四人民医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临汾</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山西省人民医院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太原</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山西大医院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太原</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上海</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上海市东方医院南</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上海</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复旦大学附属中山医院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上海</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上海交通大学医学院附属仁济医院南院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上海</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山东</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解放军海军</w:t>
            </w:r>
            <w:r>
              <w:rPr>
                <w:rFonts w:hint="eastAsia" w:ascii="宋体" w:hAnsi="宋体" w:cs="Calibri"/>
                <w:color w:val="000000"/>
                <w:szCs w:val="22"/>
              </w:rPr>
              <w:t>第</w:t>
            </w:r>
            <w:r>
              <w:rPr>
                <w:rFonts w:cs="Arial"/>
                <w:color w:val="000000"/>
                <w:szCs w:val="22"/>
              </w:rPr>
              <w:t>401</w:t>
            </w:r>
            <w:r>
              <w:rPr>
                <w:rFonts w:ascii="宋体" w:hAnsi="宋体" w:cs="Calibri"/>
                <w:color w:val="000000"/>
                <w:szCs w:val="22"/>
              </w:rPr>
              <w:t>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青岛</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山东省立医院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济南</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山东省千佛山医院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济南</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浙江</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浙江省人民医院浙江省立医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杭州</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温州医科大学附属第一医院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温州</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杭州市红十字会医院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杭州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福建</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厦门大学附属第一医院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厦门</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厦门大学附属中山医院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厦门</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福建医科大学附属第一医院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福州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江苏</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江苏省人民医院(南京医科大学第一附属医院)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南京</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南京市鼓楼医院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南京</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苏州大学附属第三医院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苏州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江西</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江西医学院第二附属医院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南昌</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南昌大学第一附属医院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南昌</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赣南医学院第一附属医院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赣州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安徽</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安徽医科大学第二附属医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合肥</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合肥市滨湖医院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合肥</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安徽医科大学附属巢湖医院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巢湖</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河南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河南省人民医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郑州</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中国人民解放军第1</w:t>
            </w:r>
            <w:r>
              <w:rPr>
                <w:rFonts w:ascii="宋体" w:hAnsi="宋体" w:cs="微软雅黑"/>
                <w:color w:val="000000"/>
                <w:szCs w:val="22"/>
              </w:rPr>
              <w:t>52</w:t>
            </w:r>
            <w:r>
              <w:rPr>
                <w:rFonts w:hint="eastAsia" w:ascii="宋体" w:hAnsi="宋体" w:cs="微软雅黑"/>
                <w:color w:val="000000"/>
                <w:szCs w:val="22"/>
              </w:rPr>
              <w:t>中心医院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平顶山</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商丘市第一人民医院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商丘</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湖南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南华大学第二附属医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衡阳</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中南大学湘雅二医院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长沙</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长沙市中心医院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长沙</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广西</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广西玉林市第一人民医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玉林</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广西壮族自治区人民医院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南宁</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柳州市第三人民医院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柳州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广东</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中山大学附属第一医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广州</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南方医科大学珠江医院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广州</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广东省中医院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广州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湖北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武汉大学人民医院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武汉</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华中科技大学同济医学院附属同济医院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武汉</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宜昌市中心人民医院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宜昌</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海南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中国人民解放军总医院海南分院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三亚</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海南省人民医院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海口</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青海</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青海大学附属医院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西宁</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青海红十字医院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西宁</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青海省人民医院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西宁</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云南</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昆明市第一人民医院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昆明</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云南省保山市人民医院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保山</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玉溪市人民医院（昆明医科大学第六附属医院）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玉溪</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12" w:space="0"/>
              <w:bottom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宁夏</w:t>
            </w:r>
          </w:p>
        </w:tc>
        <w:tc>
          <w:tcPr>
            <w:tcW w:w="5310" w:type="dxa"/>
            <w:tcBorders>
              <w:top w:val="single" w:color="auto" w:sz="12" w:space="0"/>
              <w:bottom w:val="single" w:color="auto" w:sz="12" w:space="0"/>
            </w:tcBorders>
            <w:shd w:val="clear" w:color="auto" w:fill="auto"/>
            <w:vAlign w:val="bottom"/>
          </w:tcPr>
          <w:p>
            <w:pPr>
              <w:spacing w:after="0" w:line="240" w:lineRule="auto"/>
              <w:ind w:firstLine="0"/>
              <w:jc w:val="left"/>
              <w:rPr>
                <w:rFonts w:ascii="宋体" w:hAnsi="宋体" w:cs="Calibri"/>
                <w:color w:val="000000"/>
                <w:szCs w:val="22"/>
              </w:rPr>
            </w:pPr>
            <w:r>
              <w:rPr>
                <w:rFonts w:ascii="宋体" w:hAnsi="宋体" w:cs="Calibri"/>
                <w:color w:val="000000"/>
                <w:szCs w:val="22"/>
              </w:rPr>
              <w:t>宁夏回族自治区人民医</w:t>
            </w:r>
            <w:r>
              <w:rPr>
                <w:rFonts w:hint="eastAsia" w:ascii="宋体" w:hAnsi="宋体" w:cs="微软雅黑"/>
                <w:color w:val="000000"/>
                <w:szCs w:val="22"/>
              </w:rPr>
              <w:t>院</w:t>
            </w:r>
          </w:p>
          <w:p>
            <w:pPr>
              <w:spacing w:line="240" w:lineRule="auto"/>
              <w:ind w:firstLine="0"/>
              <w:jc w:val="left"/>
              <w:rPr>
                <w:rFonts w:ascii="宋体" w:hAnsi="宋体" w:cs="微软雅黑"/>
                <w:color w:val="000000"/>
                <w:szCs w:val="22"/>
              </w:rPr>
            </w:pPr>
          </w:p>
        </w:tc>
        <w:tc>
          <w:tcPr>
            <w:tcW w:w="1350" w:type="dxa"/>
            <w:tcBorders>
              <w:top w:val="single" w:color="auto" w:sz="12" w:space="0"/>
              <w:bottom w:val="single" w:color="auto" w:sz="12" w:space="0"/>
            </w:tcBorders>
            <w:vAlign w:val="bottom"/>
          </w:tcPr>
          <w:p>
            <w:pPr>
              <w:spacing w:after="0" w:line="240" w:lineRule="auto"/>
              <w:ind w:firstLine="0"/>
              <w:jc w:val="center"/>
              <w:rPr>
                <w:rFonts w:ascii="宋体" w:hAnsi="宋体" w:cs="Calibri"/>
                <w:color w:val="000000"/>
                <w:szCs w:val="22"/>
              </w:rPr>
            </w:pPr>
            <w:r>
              <w:rPr>
                <w:rFonts w:ascii="宋体" w:hAnsi="宋体" w:cs="Calibri"/>
                <w:color w:val="000000"/>
                <w:szCs w:val="22"/>
              </w:rPr>
              <w:t>银川</w:t>
            </w:r>
          </w:p>
          <w:p>
            <w:pPr>
              <w:spacing w:line="240" w:lineRule="auto"/>
              <w:ind w:firstLine="0"/>
              <w:jc w:val="center"/>
              <w:rPr>
                <w:rFonts w:ascii="宋体" w:hAnsi="宋体" w:cs="微软雅黑"/>
                <w:color w:val="000000"/>
                <w:szCs w:val="22"/>
              </w:rPr>
            </w:pPr>
          </w:p>
        </w:tc>
        <w:tc>
          <w:tcPr>
            <w:tcW w:w="1365" w:type="dxa"/>
            <w:tcBorders>
              <w:top w:val="single" w:color="auto" w:sz="12" w:space="0"/>
              <w:bottom w:val="single" w:color="auto" w:sz="12" w:space="0"/>
            </w:tcBorders>
            <w:shd w:val="clear" w:color="auto" w:fill="auto"/>
            <w:vAlign w:val="bottom"/>
          </w:tcPr>
          <w:p>
            <w:pPr>
              <w:spacing w:after="0" w:line="240" w:lineRule="auto"/>
              <w:ind w:firstLine="0"/>
              <w:jc w:val="center"/>
              <w:rPr>
                <w:rFonts w:cs="Arial"/>
                <w:color w:val="000000"/>
                <w:szCs w:val="22"/>
              </w:rPr>
            </w:pPr>
            <w:r>
              <w:rPr>
                <w:rFonts w:cs="Arial"/>
                <w:color w:val="000000"/>
                <w:szCs w:val="22"/>
              </w:rPr>
              <w:t>38</w:t>
            </w:r>
          </w:p>
          <w:p>
            <w:pPr>
              <w:spacing w:line="240" w:lineRule="auto"/>
              <w:ind w:firstLine="0"/>
              <w:jc w:val="center"/>
              <w:rPr>
                <w:rFonts w:cs="Arial"/>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重庆</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陆军军医大学第一附属医院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重庆</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陆军军医大学第二附属医院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重庆</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重庆市医科大学附属第三医院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重庆</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四川</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四川大学华西医院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成都</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成都市第五人民医院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成都</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川北医学院附属医院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南充</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兰州</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兰州大学第二医院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兰州</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甘肃省人民医院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兰州</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兰州军区总院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兰州</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新疆</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新疆医科大学第一附属医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乌鲁木齐</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中国人民解放军新疆军区总医院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乌鲁木齐</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新疆维吾尔自治区人民医院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乌鲁木齐</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restart"/>
            <w:tcBorders>
              <w:top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陕西</w:t>
            </w:r>
          </w:p>
        </w:tc>
        <w:tc>
          <w:tcPr>
            <w:tcW w:w="5310"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ascii="宋体" w:hAnsi="宋体" w:cs="Calibri"/>
                <w:color w:val="000000"/>
                <w:szCs w:val="22"/>
              </w:rPr>
              <w:t>汉中市</w:t>
            </w:r>
            <w:r>
              <w:rPr>
                <w:rFonts w:hint="eastAsia" w:cs="Arial"/>
                <w:color w:val="000000"/>
                <w:szCs w:val="22"/>
              </w:rPr>
              <w:t>三二</w:t>
            </w:r>
            <w:r>
              <w:rPr>
                <w:rFonts w:cs="Arial"/>
                <w:color w:val="000000"/>
                <w:szCs w:val="22"/>
              </w:rPr>
              <w:t>0</w:t>
            </w:r>
            <w:r>
              <w:rPr>
                <w:rFonts w:hint="eastAsia" w:cs="Arial"/>
                <w:color w:val="000000"/>
                <w:szCs w:val="22"/>
              </w:rPr>
              <w:t>一</w:t>
            </w:r>
            <w:r>
              <w:rPr>
                <w:rFonts w:ascii="宋体" w:hAnsi="宋体" w:cs="Calibri"/>
                <w:color w:val="000000"/>
                <w:szCs w:val="22"/>
              </w:rPr>
              <w:t>医</w:t>
            </w:r>
            <w:r>
              <w:rPr>
                <w:rFonts w:hint="eastAsia" w:ascii="宋体" w:hAnsi="宋体" w:cs="微软雅黑"/>
                <w:color w:val="000000"/>
                <w:szCs w:val="22"/>
              </w:rPr>
              <w:t>院</w:t>
            </w:r>
          </w:p>
        </w:tc>
        <w:tc>
          <w:tcPr>
            <w:tcW w:w="1350"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宋体" w:hAnsi="宋体" w:cs="Calibri"/>
                <w:color w:val="000000"/>
                <w:szCs w:val="22"/>
              </w:rPr>
              <w:t>汉中</w:t>
            </w:r>
          </w:p>
        </w:tc>
        <w:tc>
          <w:tcPr>
            <w:tcW w:w="1365" w:type="dxa"/>
            <w:tcBorders>
              <w:top w:val="single" w:color="auto" w:sz="12"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8"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空军军医大学西京医院</w:t>
            </w:r>
          </w:p>
        </w:tc>
        <w:tc>
          <w:tcPr>
            <w:tcW w:w="1350" w:type="dxa"/>
            <w:tcBorders>
              <w:top w:val="single" w:color="auto" w:sz="8" w:space="0"/>
              <w:bottom w:val="single" w:color="auto" w:sz="8"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西安</w:t>
            </w:r>
          </w:p>
        </w:tc>
        <w:tc>
          <w:tcPr>
            <w:tcW w:w="1365" w:type="dxa"/>
            <w:tcBorders>
              <w:top w:val="single" w:color="auto" w:sz="8" w:space="0"/>
              <w:bottom w:val="single" w:color="auto" w:sz="8" w:space="0"/>
            </w:tcBorders>
            <w:shd w:val="clear" w:color="auto" w:fill="auto"/>
            <w:vAlign w:val="bottom"/>
          </w:tcPr>
          <w:p>
            <w:pPr>
              <w:spacing w:line="240" w:lineRule="auto"/>
              <w:ind w:firstLine="0"/>
              <w:jc w:val="center"/>
              <w:rPr>
                <w:rFonts w:cs="Arial"/>
                <w:color w:val="000000"/>
                <w:szCs w:val="22"/>
              </w:rPr>
            </w:pPr>
            <w:r>
              <w:rPr>
                <w:rFonts w:cs="Arial"/>
                <w:color w:val="000000"/>
                <w:szCs w:val="22"/>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vMerge w:val="continue"/>
            <w:tcBorders>
              <w:bottom w:val="single" w:color="auto" w:sz="12" w:space="0"/>
            </w:tcBorders>
            <w:vAlign w:val="center"/>
          </w:tcPr>
          <w:p>
            <w:pPr>
              <w:spacing w:line="240" w:lineRule="auto"/>
              <w:ind w:firstLine="0"/>
              <w:jc w:val="left"/>
              <w:rPr>
                <w:rFonts w:ascii="宋体" w:hAnsi="宋体"/>
                <w:b/>
                <w:szCs w:val="22"/>
              </w:rPr>
            </w:pPr>
          </w:p>
        </w:tc>
        <w:tc>
          <w:tcPr>
            <w:tcW w:w="5310" w:type="dxa"/>
            <w:tcBorders>
              <w:top w:val="single" w:color="auto" w:sz="8" w:space="0"/>
              <w:bottom w:val="single" w:color="auto" w:sz="12" w:space="0"/>
            </w:tcBorders>
            <w:shd w:val="clear" w:color="auto" w:fill="auto"/>
            <w:vAlign w:val="bottom"/>
          </w:tcPr>
          <w:p>
            <w:pPr>
              <w:spacing w:line="240" w:lineRule="auto"/>
              <w:ind w:firstLine="0"/>
              <w:jc w:val="left"/>
              <w:rPr>
                <w:rFonts w:ascii="宋体" w:hAnsi="宋体" w:cs="微软雅黑"/>
                <w:color w:val="000000"/>
                <w:szCs w:val="22"/>
              </w:rPr>
            </w:pPr>
            <w:r>
              <w:rPr>
                <w:rFonts w:hint="eastAsia" w:ascii="宋体" w:hAnsi="宋体" w:cs="微软雅黑"/>
                <w:color w:val="000000"/>
                <w:szCs w:val="22"/>
              </w:rPr>
              <w:t>榆林市第一医院</w:t>
            </w:r>
          </w:p>
        </w:tc>
        <w:tc>
          <w:tcPr>
            <w:tcW w:w="1350" w:type="dxa"/>
            <w:tcBorders>
              <w:top w:val="single" w:color="auto" w:sz="8" w:space="0"/>
              <w:bottom w:val="single" w:color="auto" w:sz="12" w:space="0"/>
            </w:tcBorders>
            <w:vAlign w:val="bottom"/>
          </w:tcPr>
          <w:p>
            <w:pPr>
              <w:spacing w:line="240" w:lineRule="auto"/>
              <w:ind w:firstLine="0"/>
              <w:jc w:val="center"/>
              <w:rPr>
                <w:rFonts w:ascii="宋体" w:hAnsi="宋体" w:cs="微软雅黑"/>
                <w:color w:val="000000"/>
                <w:szCs w:val="22"/>
              </w:rPr>
            </w:pPr>
            <w:r>
              <w:rPr>
                <w:rFonts w:hint="eastAsia" w:ascii="宋体" w:hAnsi="宋体" w:cs="微软雅黑"/>
                <w:color w:val="000000"/>
                <w:szCs w:val="22"/>
              </w:rPr>
              <w:t>榆林</w:t>
            </w:r>
          </w:p>
        </w:tc>
        <w:tc>
          <w:tcPr>
            <w:tcW w:w="1365" w:type="dxa"/>
            <w:tcBorders>
              <w:top w:val="single" w:color="auto" w:sz="8"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rPr>
        <w:tc>
          <w:tcPr>
            <w:tcW w:w="990" w:type="dxa"/>
            <w:tcBorders>
              <w:top w:val="single" w:color="auto" w:sz="12" w:space="0"/>
              <w:bottom w:val="single" w:color="auto" w:sz="12" w:space="0"/>
            </w:tcBorders>
            <w:vAlign w:val="center"/>
          </w:tcPr>
          <w:p>
            <w:pPr>
              <w:spacing w:line="240" w:lineRule="auto"/>
              <w:ind w:firstLine="0"/>
              <w:jc w:val="left"/>
              <w:rPr>
                <w:rFonts w:ascii="宋体" w:hAnsi="宋体"/>
                <w:b/>
                <w:szCs w:val="22"/>
              </w:rPr>
            </w:pPr>
            <w:r>
              <w:rPr>
                <w:rFonts w:hint="eastAsia" w:ascii="宋体" w:hAnsi="宋体"/>
                <w:b/>
                <w:szCs w:val="22"/>
              </w:rPr>
              <w:t>西藏</w:t>
            </w:r>
          </w:p>
        </w:tc>
        <w:tc>
          <w:tcPr>
            <w:tcW w:w="5310" w:type="dxa"/>
            <w:tcBorders>
              <w:top w:val="single" w:color="auto" w:sz="12" w:space="0"/>
              <w:bottom w:val="single" w:color="auto" w:sz="12" w:space="0"/>
            </w:tcBorders>
            <w:shd w:val="clear" w:color="auto" w:fill="auto"/>
            <w:vAlign w:val="bottom"/>
          </w:tcPr>
          <w:p>
            <w:pPr>
              <w:spacing w:after="0" w:line="240" w:lineRule="auto"/>
              <w:ind w:firstLine="0"/>
              <w:jc w:val="left"/>
              <w:rPr>
                <w:rFonts w:ascii="宋体" w:hAnsi="宋体" w:cs="Calibri"/>
                <w:color w:val="000000"/>
                <w:szCs w:val="22"/>
              </w:rPr>
            </w:pPr>
            <w:r>
              <w:rPr>
                <w:rFonts w:ascii="宋体" w:hAnsi="宋体" w:cs="Calibri"/>
                <w:color w:val="000000"/>
                <w:szCs w:val="22"/>
              </w:rPr>
              <w:t>西藏自治区人民医</w:t>
            </w:r>
            <w:r>
              <w:rPr>
                <w:rFonts w:hint="eastAsia" w:ascii="宋体" w:hAnsi="宋体" w:cs="微软雅黑"/>
                <w:color w:val="000000"/>
                <w:szCs w:val="22"/>
              </w:rPr>
              <w:t>院</w:t>
            </w:r>
          </w:p>
          <w:p>
            <w:pPr>
              <w:spacing w:line="240" w:lineRule="auto"/>
              <w:ind w:firstLine="0"/>
              <w:jc w:val="left"/>
              <w:rPr>
                <w:rFonts w:ascii="宋体" w:hAnsi="宋体" w:cs="微软雅黑"/>
                <w:color w:val="000000"/>
                <w:szCs w:val="22"/>
              </w:rPr>
            </w:pPr>
          </w:p>
        </w:tc>
        <w:tc>
          <w:tcPr>
            <w:tcW w:w="1350" w:type="dxa"/>
            <w:tcBorders>
              <w:top w:val="single" w:color="auto" w:sz="12" w:space="0"/>
              <w:bottom w:val="single" w:color="auto" w:sz="12" w:space="0"/>
            </w:tcBorders>
            <w:vAlign w:val="bottom"/>
          </w:tcPr>
          <w:p>
            <w:pPr>
              <w:spacing w:after="0" w:line="240" w:lineRule="auto"/>
              <w:ind w:firstLine="0"/>
              <w:jc w:val="center"/>
              <w:rPr>
                <w:rFonts w:ascii="宋体" w:hAnsi="宋体" w:cs="Calibri"/>
                <w:color w:val="000000"/>
                <w:szCs w:val="22"/>
              </w:rPr>
            </w:pPr>
            <w:r>
              <w:rPr>
                <w:rFonts w:ascii="宋体" w:hAnsi="宋体" w:cs="Calibri"/>
                <w:color w:val="000000"/>
                <w:szCs w:val="22"/>
              </w:rPr>
              <w:t>拉萨</w:t>
            </w:r>
          </w:p>
          <w:p>
            <w:pPr>
              <w:spacing w:line="240" w:lineRule="auto"/>
              <w:ind w:firstLine="0"/>
              <w:jc w:val="center"/>
              <w:rPr>
                <w:rFonts w:ascii="宋体" w:hAnsi="宋体" w:cs="微软雅黑"/>
                <w:color w:val="000000"/>
                <w:szCs w:val="22"/>
              </w:rPr>
            </w:pPr>
          </w:p>
        </w:tc>
        <w:tc>
          <w:tcPr>
            <w:tcW w:w="1365" w:type="dxa"/>
            <w:tcBorders>
              <w:top w:val="single" w:color="auto" w:sz="12" w:space="0"/>
              <w:bottom w:val="single" w:color="auto" w:sz="12" w:space="0"/>
            </w:tcBorders>
            <w:shd w:val="clear" w:color="auto" w:fill="auto"/>
            <w:vAlign w:val="bottom"/>
          </w:tcPr>
          <w:p>
            <w:pPr>
              <w:spacing w:line="240" w:lineRule="auto"/>
              <w:ind w:firstLine="0"/>
              <w:jc w:val="center"/>
              <w:rPr>
                <w:rFonts w:cs="Arial"/>
                <w:color w:val="000000"/>
                <w:szCs w:val="22"/>
              </w:rPr>
            </w:pPr>
            <w:r>
              <w:rPr>
                <w:rFonts w:cs="Arial"/>
                <w:color w:val="000000"/>
                <w:szCs w:val="22"/>
              </w:rPr>
              <w:t>20</w:t>
            </w:r>
          </w:p>
        </w:tc>
      </w:tr>
    </w:tbl>
    <w:p>
      <w:pPr>
        <w:ind w:firstLine="0"/>
      </w:pPr>
      <w:r>
        <w:rPr>
          <w:rFonts w:hint="eastAsia"/>
        </w:rPr>
        <w:t>注：贵州及港澳台地区无医院参与调研。</w:t>
      </w:r>
    </w:p>
    <w:p/>
    <w:p/>
    <w:p>
      <w:r>
        <w:br w:type="page"/>
      </w:r>
    </w:p>
    <w:p>
      <w:pPr>
        <w:pStyle w:val="3"/>
      </w:pPr>
      <w:bookmarkStart w:id="108" w:name="_Toc519069724"/>
      <w:r>
        <w:rPr>
          <w:rFonts w:hint="eastAsia"/>
        </w:rPr>
        <w:t>各省可在本院开展丝状菌药敏试验的医院名单</w:t>
      </w:r>
      <w:bookmarkEnd w:id="108"/>
    </w:p>
    <w:tbl>
      <w:tblPr>
        <w:tblStyle w:val="20"/>
        <w:tblW w:w="91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60"/>
        <w:gridCol w:w="1843"/>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blHeader/>
          <w:jc w:val="center"/>
        </w:trPr>
        <w:tc>
          <w:tcPr>
            <w:tcW w:w="5560" w:type="dxa"/>
            <w:tcBorders>
              <w:top w:val="single" w:color="auto" w:sz="12" w:space="0"/>
              <w:bottom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医院名称</w:t>
            </w:r>
          </w:p>
        </w:tc>
        <w:tc>
          <w:tcPr>
            <w:tcW w:w="1843"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省份</w:t>
            </w:r>
          </w:p>
        </w:tc>
        <w:tc>
          <w:tcPr>
            <w:tcW w:w="1755"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ascii="宋体" w:hAnsi="宋体" w:cs="Calibri"/>
                <w:color w:val="000000"/>
                <w:szCs w:val="22"/>
              </w:rPr>
              <w:t>上海市东方医院南</w:t>
            </w:r>
            <w:r>
              <w:rPr>
                <w:rFonts w:hint="eastAsia" w:ascii="宋体" w:hAnsi="宋体" w:cs="微软雅黑"/>
                <w:color w:val="000000"/>
                <w:szCs w:val="22"/>
              </w:rPr>
              <w:t>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上海市同济医院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上海交通大学医学院附属仁济医院（东院）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内蒙古医科大学附属医院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内蒙古</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呼和浩特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中日友好医院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北京友谊医院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北京大学第一医院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首都医科大学附属北京安贞医院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北京协和医院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泰安市中心医院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泰安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山东大学齐鲁医院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济南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山西省大同市第五人民医院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山西</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大同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广东省中医院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广州市第一人民医院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南方医科大学第三附属医院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深圳市第三人民医院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深圳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中山大学附属第三医院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右江民族医学院附属医院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百色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中国人民解放军第一八一医院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桂林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南宁市第一人民医院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新疆军区总医院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新疆</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乌鲁木齐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扬州市第一人民医院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扬州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赣南医学院第一附属医院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江西</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赣州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承德医学院附属医院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河北</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承德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解放军第</w:t>
            </w:r>
            <w:r>
              <w:rPr>
                <w:rFonts w:cs="Arial"/>
                <w:color w:val="000000"/>
                <w:szCs w:val="22"/>
              </w:rPr>
              <w:t>152</w:t>
            </w:r>
            <w:r>
              <w:rPr>
                <w:rFonts w:hint="eastAsia" w:ascii="宋体" w:hAnsi="宋体" w:cs="微软雅黑"/>
                <w:color w:val="000000"/>
                <w:szCs w:val="22"/>
              </w:rPr>
              <w:t>中心医院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河南</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平顶山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浙江省立同德医院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嘉兴市第二医院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嘉兴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滨江医院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武汉市第一医院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武汉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十堰市太和医院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十堰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武汉大学人民医院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武汉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宜昌市中心人民医院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宜昌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兰州大学第二医院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甘肃</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兰州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福建医科大学附属南平第一医院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泉州市第一医院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泉州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辽宁省人民医院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沈阳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陆军军医大学第一附属医院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重庆</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重庆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西安交通大学第二附属医院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陕西</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560"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佳木斯大学附属第一医院</w:t>
            </w:r>
          </w:p>
        </w:tc>
        <w:tc>
          <w:tcPr>
            <w:tcW w:w="1843"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黑龙江</w:t>
            </w:r>
          </w:p>
        </w:tc>
        <w:tc>
          <w:tcPr>
            <w:tcW w:w="1755"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佳木斯</w:t>
            </w:r>
          </w:p>
        </w:tc>
      </w:tr>
    </w:tbl>
    <w:p/>
    <w:p>
      <w:pPr>
        <w:ind w:firstLine="0"/>
        <w:sectPr>
          <w:footnotePr>
            <w:numRestart w:val="eachPage"/>
          </w:footnotePr>
          <w:pgSz w:w="11906" w:h="16838"/>
          <w:pgMar w:top="1440" w:right="1440" w:bottom="1440" w:left="1440" w:header="708" w:footer="708" w:gutter="0"/>
          <w:cols w:space="708" w:num="1"/>
          <w:titlePg/>
          <w:docGrid w:linePitch="360" w:charSpace="0"/>
        </w:sectPr>
      </w:pPr>
    </w:p>
    <w:p>
      <w:pPr>
        <w:pStyle w:val="3"/>
      </w:pPr>
      <w:bookmarkStart w:id="109" w:name="_Toc519069725"/>
      <w:r>
        <w:rPr>
          <w:rFonts w:hint="eastAsia"/>
        </w:rPr>
        <w:t>各省可在本院开展</w:t>
      </w:r>
      <w:r>
        <w:rPr>
          <w:rFonts w:ascii="Arial" w:hAnsi="Arial" w:cs="Arial"/>
        </w:rPr>
        <w:t>MALDI-TOF</w:t>
      </w:r>
      <w:r>
        <w:rPr>
          <w:rFonts w:hint="eastAsia" w:ascii="Arial" w:hAnsi="Arial" w:cs="Arial"/>
        </w:rPr>
        <w:t>或测序</w:t>
      </w:r>
      <w:r>
        <w:rPr>
          <w:rFonts w:hint="eastAsia"/>
        </w:rPr>
        <w:t>进行真菌鉴定的医院名单</w:t>
      </w:r>
      <w:bookmarkEnd w:id="109"/>
    </w:p>
    <w:tbl>
      <w:tblPr>
        <w:tblStyle w:val="20"/>
        <w:tblW w:w="138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41"/>
        <w:gridCol w:w="1522"/>
        <w:gridCol w:w="1417"/>
        <w:gridCol w:w="1518"/>
        <w:gridCol w:w="1418"/>
        <w:gridCol w:w="1417"/>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blHeader/>
          <w:jc w:val="center"/>
        </w:trPr>
        <w:tc>
          <w:tcPr>
            <w:tcW w:w="5141" w:type="dxa"/>
            <w:vMerge w:val="restart"/>
            <w:tcBorders>
              <w:top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医院名称</w:t>
            </w:r>
          </w:p>
        </w:tc>
        <w:tc>
          <w:tcPr>
            <w:tcW w:w="1522" w:type="dxa"/>
            <w:vMerge w:val="restart"/>
            <w:tcBorders>
              <w:top w:val="single" w:color="auto" w:sz="12" w:space="0"/>
            </w:tcBorders>
            <w:shd w:val="clear" w:color="auto" w:fill="770F43"/>
            <w:vAlign w:val="center"/>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省份</w:t>
            </w:r>
          </w:p>
        </w:tc>
        <w:tc>
          <w:tcPr>
            <w:tcW w:w="1417" w:type="dxa"/>
            <w:vMerge w:val="restart"/>
            <w:tcBorders>
              <w:top w:val="single" w:color="auto" w:sz="12" w:space="0"/>
            </w:tcBorders>
            <w:shd w:val="clear" w:color="auto" w:fill="770F43"/>
            <w:vAlign w:val="center"/>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城市</w:t>
            </w:r>
          </w:p>
        </w:tc>
        <w:tc>
          <w:tcPr>
            <w:tcW w:w="2936" w:type="dxa"/>
            <w:gridSpan w:val="2"/>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b/>
                <w:color w:val="FFFFFF" w:themeColor="background1"/>
                <w:szCs w:val="22"/>
                <w14:textFill>
                  <w14:solidFill>
                    <w14:schemeClr w14:val="bg1"/>
                  </w14:solidFill>
                </w14:textFill>
              </w:rPr>
              <w:t>MALDI-TOF</w:t>
            </w:r>
          </w:p>
        </w:tc>
        <w:tc>
          <w:tcPr>
            <w:tcW w:w="2835" w:type="dxa"/>
            <w:gridSpan w:val="2"/>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tblHeader/>
          <w:jc w:val="center"/>
        </w:trPr>
        <w:tc>
          <w:tcPr>
            <w:tcW w:w="5141" w:type="dxa"/>
            <w:vMerge w:val="continue"/>
            <w:tcBorders>
              <w:bottom w:val="single" w:color="auto" w:sz="12" w:space="0"/>
            </w:tcBorders>
            <w:shd w:val="clear" w:color="auto" w:fill="770F43"/>
            <w:vAlign w:val="center"/>
          </w:tcPr>
          <w:p>
            <w:pPr>
              <w:spacing w:line="240" w:lineRule="auto"/>
              <w:ind w:firstLine="0"/>
              <w:jc w:val="left"/>
              <w:rPr>
                <w:b/>
                <w:color w:val="FFFFFF" w:themeColor="background1"/>
                <w:szCs w:val="22"/>
                <w14:textFill>
                  <w14:solidFill>
                    <w14:schemeClr w14:val="bg1"/>
                  </w14:solidFill>
                </w14:textFill>
              </w:rPr>
            </w:pPr>
          </w:p>
        </w:tc>
        <w:tc>
          <w:tcPr>
            <w:tcW w:w="1522" w:type="dxa"/>
            <w:vMerge w:val="continue"/>
            <w:tcBorders>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p>
        </w:tc>
        <w:tc>
          <w:tcPr>
            <w:tcW w:w="1417" w:type="dxa"/>
            <w:vMerge w:val="continue"/>
            <w:tcBorders>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p>
        </w:tc>
        <w:tc>
          <w:tcPr>
            <w:tcW w:w="1518"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酵母菌</w:t>
            </w:r>
          </w:p>
        </w:tc>
        <w:tc>
          <w:tcPr>
            <w:tcW w:w="1418"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丝状真菌</w:t>
            </w:r>
          </w:p>
        </w:tc>
        <w:tc>
          <w:tcPr>
            <w:tcW w:w="1417"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酵母菌</w:t>
            </w:r>
          </w:p>
        </w:tc>
        <w:tc>
          <w:tcPr>
            <w:tcW w:w="1418" w:type="dxa"/>
            <w:tcBorders>
              <w:top w:val="single" w:color="auto" w:sz="12" w:space="0"/>
              <w:bottom w:val="single" w:color="auto" w:sz="12" w:space="0"/>
            </w:tcBorders>
            <w:shd w:val="clear" w:color="auto" w:fill="770F43"/>
          </w:tcPr>
          <w:p>
            <w:pPr>
              <w:spacing w:line="240" w:lineRule="auto"/>
              <w:ind w:firstLine="0"/>
              <w:jc w:val="center"/>
              <w:rPr>
                <w:b/>
                <w:color w:val="FFFFFF" w:themeColor="background1"/>
                <w:szCs w:val="22"/>
                <w14:textFill>
                  <w14:solidFill>
                    <w14:schemeClr w14:val="bg1"/>
                  </w14:solidFill>
                </w14:textFill>
              </w:rPr>
            </w:pPr>
            <w:r>
              <w:rPr>
                <w:rFonts w:hint="eastAsia"/>
                <w:b/>
                <w:color w:val="FFFFFF" w:themeColor="background1"/>
                <w:szCs w:val="22"/>
                <w14:textFill>
                  <w14:solidFill>
                    <w14:schemeClr w14:val="bg1"/>
                  </w14:solidFill>
                </w14:textFill>
              </w:rPr>
              <w:t>丝状真菌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ascii="宋体" w:hAnsi="宋体" w:cs="Calibri"/>
                <w:color w:val="000000"/>
                <w:szCs w:val="22"/>
              </w:rPr>
              <w:t>复旦大学附属中山医</w:t>
            </w:r>
            <w:r>
              <w:rPr>
                <w:rFonts w:hint="eastAsia" w:ascii="宋体" w:hAnsi="宋体" w:cs="微软雅黑"/>
                <w:color w:val="000000"/>
                <w:szCs w:val="22"/>
              </w:rPr>
              <w:t>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上海中医药大学附属龙华医院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上海交通大学医学院附属仁济医院南院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上海市第一人民医院（北部）</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上海交通大学医学院附属新华医院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上海市东方医院南院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上海市华东医院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上海长海医院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上海市同济医院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上海交通大学医学院附属瑞金医院北院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上海交通大学医学院附属仁济医院（东院）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上海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玉溪市人民医院（昆明医科大学第六附属医院）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云南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玉溪</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巴彦淖尔市医院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内蒙古</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巴彦卓尔</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内蒙古医科大学附属医院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内蒙古</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呼和浩特</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中日友好医院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北京友谊医院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首都医科大学宣武医院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北京大学第一医院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首都医科大学附属北京安贞医院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北京大学第三医院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北京协和医院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吉林省人民医院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吉林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长春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吉林大学第一医院二部</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吉林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长春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吉林大学第一医院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吉林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长春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吉林大学中日联谊医院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吉林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长春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四川大学华西医院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四川</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成都</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川北医学院附属医院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四川</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南充</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天津市第一中心医院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天津市第三中心医院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天津市海河医院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天津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安徽医科大学第二附属医院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安徽</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合肥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济南军区总医院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济南</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山东省千佛山医院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济南</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山东省临沂市人民医院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临沂</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青岛市中心医院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青岛</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泰安市中心医院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泰安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山东大学齐鲁医院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济南</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胜利油田中心医院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东营</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山东省立医院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济南</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威海市立医院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威海</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解放军第</w:t>
            </w:r>
            <w:r>
              <w:rPr>
                <w:rFonts w:cs="Arial"/>
                <w:color w:val="000000"/>
                <w:szCs w:val="22"/>
              </w:rPr>
              <w:t>401</w:t>
            </w:r>
            <w:r>
              <w:rPr>
                <w:rFonts w:hint="eastAsia" w:ascii="宋体" w:hAnsi="宋体" w:cs="微软雅黑"/>
                <w:color w:val="000000"/>
                <w:szCs w:val="22"/>
              </w:rPr>
              <w:t>医院检验科</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青岛</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烟台毓璜顶医院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烟台</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青岛大学附属医院市南院区</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青岛</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山西大医院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太原</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临汾市中心医院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临汾</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山西省人民医院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山西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太原</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南方医科大学珠江医院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广东省中医院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广东省人民医院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佛山市第一人民医院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佛山</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中山大学附属第一医院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深圳市南山区人民医院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深圳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清远市人民医院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清远</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中山市人民医院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中山</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南方医科大学第三附属医院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深圳市第三人民医院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深圳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中山大学附属第三医院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深圳市人民医院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深圳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深圳市第二人民医院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深圳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深圳市龙岗中心医院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广东</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深圳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广西玉林市第一人民医院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玉林</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中国人民解放军第三零三医院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南宁</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右江民族医学院附属医院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百色</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桂林医学院附属医院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桂林</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广西壮族自治区人民医院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南宁</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广西医科大学第一附属医院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南宁</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南宁市第一人民医院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广西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南宁</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喀什地区第一人民医院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新疆</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喀什地区</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新疆军区总医院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新疆</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乌鲁木齐</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新疆医科大学第一附属医院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新疆</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乌鲁木齐</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新疆维吾尔自治区中医医院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新疆</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乌鲁木齐</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苏州大学附属第三医院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苏州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江苏省连云港市第一人民医院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连云港</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江苏省人民医院（南京医科大学第一附属医院）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南京</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江苏省苏北人民医院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扬州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无锡市人民医院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江苏</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无锡</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南昌大学第一附属医院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南昌</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南昌大学第二附属医院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江西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南昌</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河南科技大学第一附属医院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洛阳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商丘市第一人民医院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商丘</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河南省人民医院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郑州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濮阳市油田总医院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濮阳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解放军第</w:t>
            </w:r>
            <w:r>
              <w:rPr>
                <w:rFonts w:cs="Arial"/>
                <w:color w:val="000000"/>
                <w:szCs w:val="22"/>
              </w:rPr>
              <w:t>152</w:t>
            </w:r>
            <w:r>
              <w:rPr>
                <w:rFonts w:hint="eastAsia" w:ascii="宋体" w:hAnsi="宋体" w:cs="微软雅黑"/>
                <w:color w:val="000000"/>
                <w:szCs w:val="22"/>
              </w:rPr>
              <w:t>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河南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平顶山</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杭州师范大学附属医院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温州医科大学附属第一医院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温州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杭州市第一人民医院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宁波大学医学院附属医院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宁波</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衢州市人民医院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衢州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嘉兴市第一医院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嘉兴</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浙江大学医学院附属第一医院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浙江大学医学院附属儿童医院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浙江省人民医院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浙江省立同德医院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浙江省中医院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杭州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嘉兴市第二医院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浙江</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嘉兴</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海南省人民医院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海南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海口</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华中科技大学同济医学院附属同济医院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武汉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武汉市中心医院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武汉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武汉大学人民医院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武汉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湖南郴州市第一人民医院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郴州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中南大学湘雅医院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长沙</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中南大学湘雅三医院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湖南</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长沙</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兰州大学第二医院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甘肃</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兰州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甘肃省人民医院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甘肃</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兰州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福建医科大学附属第一医院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厦门大学附属中山医院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厦门</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福建医科大学附属协和医院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福建医科大学附属二院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泉州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泉州市第一医院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泉州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福建省立医院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厦门大学附属第一医院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福建</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厦门</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辽宁省人民医院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沈阳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中国医科大学附属第一医院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沈阳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解放军第</w:t>
            </w:r>
            <w:r>
              <w:rPr>
                <w:rFonts w:cs="Arial"/>
                <w:color w:val="000000"/>
                <w:szCs w:val="22"/>
              </w:rPr>
              <w:t>202</w:t>
            </w:r>
            <w:r>
              <w:rPr>
                <w:rFonts w:hint="eastAsia" w:ascii="宋体" w:hAnsi="宋体" w:cs="微软雅黑"/>
                <w:color w:val="000000"/>
                <w:szCs w:val="22"/>
              </w:rPr>
              <w:t>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沈阳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中国医科大学附属盛京医院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沈阳</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大连医科大学附属第一医院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辽宁</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大连</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陆军军医大学第一附属医院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重庆</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重庆</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陆军军医大学第二附属医院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重庆</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重庆</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西安交通大学第二附属医院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陕西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空军军医大学西京医院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陕西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陕西省人民医院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陕西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西安交通大学第一附属医院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陕西</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西安</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青海大学附属医院检验科</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青海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西宁</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12"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青海省人民医院</w:t>
            </w:r>
          </w:p>
        </w:tc>
        <w:tc>
          <w:tcPr>
            <w:tcW w:w="1522"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青海</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西宁</w:t>
            </w:r>
          </w:p>
        </w:tc>
        <w:tc>
          <w:tcPr>
            <w:tcW w:w="15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12" w:space="0"/>
            </w:tcBorders>
            <w:vAlign w:val="bottom"/>
          </w:tcPr>
          <w:p>
            <w:pPr>
              <w:spacing w:line="240" w:lineRule="auto"/>
              <w:ind w:firstLine="0"/>
              <w:jc w:val="center"/>
              <w:rPr>
                <w:rFonts w:ascii="宋体" w:hAnsi="宋体" w:cs="微软雅黑"/>
                <w:color w:val="000000"/>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0" w:hRule="exact"/>
          <w:jc w:val="center"/>
        </w:trPr>
        <w:tc>
          <w:tcPr>
            <w:tcW w:w="5141" w:type="dxa"/>
            <w:tcBorders>
              <w:top w:val="single" w:color="auto" w:sz="12" w:space="0"/>
              <w:bottom w:val="single" w:color="auto" w:sz="8" w:space="0"/>
            </w:tcBorders>
            <w:shd w:val="clear" w:color="auto" w:fill="auto"/>
            <w:vAlign w:val="bottom"/>
          </w:tcPr>
          <w:p>
            <w:pPr>
              <w:spacing w:line="240" w:lineRule="auto"/>
              <w:ind w:firstLine="0"/>
              <w:jc w:val="left"/>
              <w:rPr>
                <w:rFonts w:ascii="宋体" w:hAnsi="宋体"/>
                <w:szCs w:val="22"/>
              </w:rPr>
            </w:pPr>
            <w:r>
              <w:rPr>
                <w:rFonts w:hint="eastAsia" w:ascii="宋体" w:hAnsi="宋体" w:cs="微软雅黑"/>
                <w:color w:val="000000"/>
                <w:szCs w:val="22"/>
              </w:rPr>
              <w:t>哈尔滨医科大学附属第四医院</w:t>
            </w:r>
          </w:p>
        </w:tc>
        <w:tc>
          <w:tcPr>
            <w:tcW w:w="1522" w:type="dxa"/>
            <w:tcBorders>
              <w:top w:val="single" w:color="auto" w:sz="12" w:space="0"/>
              <w:bottom w:val="single" w:color="auto" w:sz="8"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黑龙江</w:t>
            </w:r>
          </w:p>
        </w:tc>
        <w:tc>
          <w:tcPr>
            <w:tcW w:w="1417" w:type="dxa"/>
            <w:tcBorders>
              <w:top w:val="single" w:color="auto" w:sz="12" w:space="0"/>
              <w:bottom w:val="single" w:color="auto" w:sz="8" w:space="0"/>
            </w:tcBorders>
            <w:vAlign w:val="bottom"/>
          </w:tcPr>
          <w:p>
            <w:pPr>
              <w:spacing w:line="240" w:lineRule="auto"/>
              <w:ind w:firstLine="0"/>
              <w:jc w:val="center"/>
              <w:rPr>
                <w:rFonts w:ascii="宋体" w:hAnsi="宋体" w:cs="Calibri"/>
                <w:color w:val="000000" w:themeColor="text1"/>
                <w:kern w:val="24"/>
                <w:szCs w:val="22"/>
                <w14:textFill>
                  <w14:solidFill>
                    <w14:schemeClr w14:val="tx1"/>
                  </w14:solidFill>
                </w14:textFill>
              </w:rPr>
            </w:pPr>
            <w:r>
              <w:rPr>
                <w:rFonts w:hint="eastAsia" w:ascii="宋体" w:hAnsi="宋体" w:cs="微软雅黑"/>
                <w:color w:val="000000"/>
                <w:szCs w:val="22"/>
              </w:rPr>
              <w:t>哈尔滨</w:t>
            </w:r>
          </w:p>
        </w:tc>
        <w:tc>
          <w:tcPr>
            <w:tcW w:w="1518"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8"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r>
              <w:rPr>
                <w:rFonts w:ascii="Segoe UI Symbol" w:hAnsi="Segoe UI Symbol" w:cs="Segoe UI Symbol"/>
                <w:color w:val="000000"/>
                <w:szCs w:val="22"/>
              </w:rPr>
              <w:t>✓</w:t>
            </w:r>
          </w:p>
        </w:tc>
        <w:tc>
          <w:tcPr>
            <w:tcW w:w="1417"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p>
        </w:tc>
        <w:tc>
          <w:tcPr>
            <w:tcW w:w="1418" w:type="dxa"/>
            <w:tcBorders>
              <w:top w:val="single" w:color="auto" w:sz="12" w:space="0"/>
              <w:bottom w:val="single" w:color="auto" w:sz="8" w:space="0"/>
            </w:tcBorders>
            <w:vAlign w:val="bottom"/>
          </w:tcPr>
          <w:p>
            <w:pPr>
              <w:spacing w:line="240" w:lineRule="auto"/>
              <w:ind w:firstLine="0"/>
              <w:jc w:val="center"/>
              <w:rPr>
                <w:rFonts w:ascii="宋体" w:hAnsi="宋体" w:cs="微软雅黑"/>
                <w:color w:val="000000"/>
                <w:szCs w:val="22"/>
              </w:rPr>
            </w:pPr>
          </w:p>
        </w:tc>
      </w:tr>
    </w:tbl>
    <w:p/>
    <w:p/>
    <w:sectPr>
      <w:pgSz w:w="16838" w:h="11906" w:orient="landscape"/>
      <w:pgMar w:top="1440" w:right="1440" w:bottom="1440" w:left="1440"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1343993"/>
      <w:docPartObj>
        <w:docPartGallery w:val="AutoText"/>
      </w:docPartObj>
    </w:sdtPr>
    <w:sdtContent>
      <w:p>
        <w:pPr>
          <w:pStyle w:val="10"/>
          <w:jc w:val="right"/>
        </w:pPr>
        <w:r>
          <w:fldChar w:fldCharType="begin"/>
        </w:r>
        <w:r>
          <w:instrText xml:space="preserve"> PAGE   \* MERGEFORMAT </w:instrText>
        </w:r>
        <w:r>
          <w:fldChar w:fldCharType="separate"/>
        </w:r>
        <w:r>
          <w:t>55</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59" w:lineRule="auto"/>
      </w:pPr>
      <w:r>
        <w:separator/>
      </w:r>
    </w:p>
  </w:footnote>
  <w:footnote w:type="continuationSeparator" w:id="5">
    <w:p>
      <w:pPr>
        <w:spacing w:before="0" w:after="0" w:line="259" w:lineRule="auto"/>
      </w:pPr>
      <w:r>
        <w:continuationSeparator/>
      </w:r>
    </w:p>
  </w:footnote>
  <w:footnote w:id="0">
    <w:p>
      <w:pPr>
        <w:pStyle w:val="14"/>
        <w:ind w:firstLine="0"/>
      </w:pPr>
      <w:r>
        <w:rPr>
          <w:rStyle w:val="24"/>
        </w:rPr>
        <w:footnoteRef/>
      </w:r>
      <w:r>
        <w:t xml:space="preserve"> </w:t>
      </w:r>
      <w:r>
        <w:rPr>
          <w:rFonts w:hint="eastAsia"/>
        </w:rPr>
        <w:t>E</w:t>
      </w:r>
      <w:r>
        <w:t>SCMID</w:t>
      </w:r>
      <w:r>
        <w:rPr>
          <w:rFonts w:hint="eastAsia"/>
        </w:rPr>
        <w:t>：欧洲临床微生物与感染性疾病学会；ECMM：欧洲医学真菌学联盟；ERS：欧洲呼吸学会</w:t>
      </w:r>
    </w:p>
  </w:footnote>
  <w:footnote w:id="1">
    <w:p>
      <w:pPr>
        <w:pStyle w:val="14"/>
        <w:ind w:firstLine="0"/>
      </w:pPr>
      <w:r>
        <w:rPr>
          <w:rStyle w:val="24"/>
        </w:rPr>
        <w:footnoteRef/>
      </w:r>
      <w:r>
        <w:t xml:space="preserve"> </w:t>
      </w:r>
      <w:r>
        <w:rPr>
          <w:rFonts w:hint="eastAsia"/>
        </w:rPr>
        <w:t>https://baike.baidu.com/item/室间质量评价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B5D50"/>
    <w:multiLevelType w:val="multilevel"/>
    <w:tmpl w:val="07AB5D50"/>
    <w:lvl w:ilvl="0" w:tentative="0">
      <w:start w:val="1"/>
      <w:numFmt w:val="decimal"/>
      <w:pStyle w:val="5"/>
      <w:lvlText w:val="%1)"/>
      <w:lvlJc w:val="left"/>
      <w:pPr>
        <w:ind w:left="1152" w:hanging="360"/>
      </w:pPr>
    </w:lvl>
    <w:lvl w:ilvl="1" w:tentative="0">
      <w:start w:val="1"/>
      <w:numFmt w:val="lowerLetter"/>
      <w:lvlText w:val="%2."/>
      <w:lvlJc w:val="left"/>
      <w:pPr>
        <w:ind w:left="1872" w:hanging="360"/>
      </w:pPr>
    </w:lvl>
    <w:lvl w:ilvl="2" w:tentative="0">
      <w:start w:val="1"/>
      <w:numFmt w:val="lowerRoman"/>
      <w:lvlText w:val="%3."/>
      <w:lvlJc w:val="right"/>
      <w:pPr>
        <w:ind w:left="2592" w:hanging="180"/>
      </w:pPr>
    </w:lvl>
    <w:lvl w:ilvl="3" w:tentative="0">
      <w:start w:val="1"/>
      <w:numFmt w:val="decimal"/>
      <w:lvlText w:val="%4."/>
      <w:lvlJc w:val="left"/>
      <w:pPr>
        <w:ind w:left="3312" w:hanging="360"/>
      </w:pPr>
    </w:lvl>
    <w:lvl w:ilvl="4" w:tentative="0">
      <w:start w:val="1"/>
      <w:numFmt w:val="lowerLetter"/>
      <w:lvlText w:val="%5."/>
      <w:lvlJc w:val="left"/>
      <w:pPr>
        <w:ind w:left="4032" w:hanging="360"/>
      </w:pPr>
    </w:lvl>
    <w:lvl w:ilvl="5" w:tentative="0">
      <w:start w:val="1"/>
      <w:numFmt w:val="lowerRoman"/>
      <w:lvlText w:val="%6."/>
      <w:lvlJc w:val="right"/>
      <w:pPr>
        <w:ind w:left="4752" w:hanging="180"/>
      </w:pPr>
    </w:lvl>
    <w:lvl w:ilvl="6" w:tentative="0">
      <w:start w:val="1"/>
      <w:numFmt w:val="decimal"/>
      <w:lvlText w:val="%7."/>
      <w:lvlJc w:val="left"/>
      <w:pPr>
        <w:ind w:left="5472" w:hanging="360"/>
      </w:pPr>
    </w:lvl>
    <w:lvl w:ilvl="7" w:tentative="0">
      <w:start w:val="1"/>
      <w:numFmt w:val="lowerLetter"/>
      <w:lvlText w:val="%8."/>
      <w:lvlJc w:val="left"/>
      <w:pPr>
        <w:ind w:left="6192" w:hanging="360"/>
      </w:pPr>
    </w:lvl>
    <w:lvl w:ilvl="8" w:tentative="0">
      <w:start w:val="1"/>
      <w:numFmt w:val="lowerRoman"/>
      <w:lvlText w:val="%9."/>
      <w:lvlJc w:val="right"/>
      <w:pPr>
        <w:ind w:left="6912" w:hanging="180"/>
      </w:pPr>
    </w:lvl>
  </w:abstractNum>
  <w:abstractNum w:abstractNumId="1">
    <w:nsid w:val="244A607E"/>
    <w:multiLevelType w:val="multilevel"/>
    <w:tmpl w:val="244A607E"/>
    <w:lvl w:ilvl="0" w:tentative="0">
      <w:start w:val="1"/>
      <w:numFmt w:val="chineseCountingThousand"/>
      <w:pStyle w:val="3"/>
      <w:lvlText w:val="%1．"/>
      <w:lvlJc w:val="center"/>
      <w:pPr>
        <w:ind w:left="360" w:hanging="360"/>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F3B4E97"/>
    <w:multiLevelType w:val="multilevel"/>
    <w:tmpl w:val="4F3B4E97"/>
    <w:lvl w:ilvl="0" w:tentative="0">
      <w:start w:val="1"/>
      <w:numFmt w:val="decimal"/>
      <w:pStyle w:val="4"/>
      <w:lvlText w:val="%1."/>
      <w:lvlJc w:val="left"/>
      <w:pPr>
        <w:ind w:left="360" w:hanging="360"/>
      </w:pPr>
    </w:lvl>
    <w:lvl w:ilvl="1" w:tentative="0">
      <w:start w:val="1"/>
      <w:numFmt w:val="lowerLetter"/>
      <w:lvlText w:val="%2."/>
      <w:lvlJc w:val="left"/>
      <w:pPr>
        <w:ind w:left="1296" w:hanging="360"/>
      </w:pPr>
    </w:lvl>
    <w:lvl w:ilvl="2" w:tentative="0">
      <w:start w:val="1"/>
      <w:numFmt w:val="lowerRoman"/>
      <w:lvlText w:val="%3."/>
      <w:lvlJc w:val="right"/>
      <w:pPr>
        <w:ind w:left="2016" w:hanging="180"/>
      </w:pPr>
    </w:lvl>
    <w:lvl w:ilvl="3" w:tentative="0">
      <w:start w:val="1"/>
      <w:numFmt w:val="decimal"/>
      <w:lvlText w:val="%4."/>
      <w:lvlJc w:val="left"/>
      <w:pPr>
        <w:ind w:left="2736" w:hanging="360"/>
      </w:pPr>
    </w:lvl>
    <w:lvl w:ilvl="4" w:tentative="0">
      <w:start w:val="1"/>
      <w:numFmt w:val="lowerLetter"/>
      <w:lvlText w:val="%5."/>
      <w:lvlJc w:val="left"/>
      <w:pPr>
        <w:ind w:left="3456" w:hanging="360"/>
      </w:pPr>
    </w:lvl>
    <w:lvl w:ilvl="5" w:tentative="0">
      <w:start w:val="1"/>
      <w:numFmt w:val="lowerRoman"/>
      <w:lvlText w:val="%6."/>
      <w:lvlJc w:val="right"/>
      <w:pPr>
        <w:ind w:left="4176" w:hanging="180"/>
      </w:pPr>
    </w:lvl>
    <w:lvl w:ilvl="6" w:tentative="0">
      <w:start w:val="1"/>
      <w:numFmt w:val="decimal"/>
      <w:lvlText w:val="%7."/>
      <w:lvlJc w:val="left"/>
      <w:pPr>
        <w:ind w:left="4896" w:hanging="360"/>
      </w:pPr>
    </w:lvl>
    <w:lvl w:ilvl="7" w:tentative="0">
      <w:start w:val="1"/>
      <w:numFmt w:val="lowerLetter"/>
      <w:lvlText w:val="%8."/>
      <w:lvlJc w:val="left"/>
      <w:pPr>
        <w:ind w:left="5616" w:hanging="360"/>
      </w:pPr>
    </w:lvl>
    <w:lvl w:ilvl="8" w:tentative="0">
      <w:start w:val="1"/>
      <w:numFmt w:val="lowerRoman"/>
      <w:lvlText w:val="%9."/>
      <w:lvlJc w:val="right"/>
      <w:pPr>
        <w:ind w:left="6336" w:hanging="180"/>
      </w:pPr>
    </w:lvl>
  </w:abstractNum>
  <w:num w:numId="1">
    <w:abstractNumId w:val="1"/>
  </w:num>
  <w:num w:numId="2">
    <w:abstractNumId w:val="2"/>
  </w:num>
  <w:num w:numId="3">
    <w:abstractNumId w:val="0"/>
  </w:num>
  <w:num w:numId="4">
    <w:abstractNumId w:val="1"/>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2"/>
    <w:lvlOverride w:ilvl="0">
      <w:startOverride w:val="1"/>
    </w:lvlOverride>
  </w:num>
  <w:num w:numId="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4"/>
    <w:footnote w:id="5"/>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EwsjA3MTUwNrc0MjFS0lEKTi0uzszPAykwMqgFAK+hiw4tAAAA"/>
    <w:docVar w:name="EN.InstantFormat" w:val="&lt;ENInstantFormat&gt;&lt;Enabled&gt;0&lt;/Enabled&gt;&lt;ScanUnformatted&gt;1&lt;/ScanUnformatted&gt;&lt;ScanChanges&gt;1&lt;/ScanChanges&gt;&lt;Suspended&gt;0&lt;/Suspended&gt;&lt;/ENInstantFormat&gt;"/>
    <w:docVar w:name="EN.Layout" w:val="&lt;ENLayout&gt;&lt;Style&gt;BMC Genomics&lt;/Style&gt;&lt;LeftDelim&gt;{&lt;/LeftDelim&gt;&lt;RightDelim&gt;}&lt;/RightDelim&gt;&lt;FontName&gt;SimSun&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sw5p5parwd99e5z2sp05alf9x5vz9z520s&quot;&gt;My EndNote Library&lt;record-ids&gt;&lt;item&gt;1&lt;/item&gt;&lt;item&gt;5&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53&lt;/item&gt;&lt;item&gt;54&lt;/item&gt;&lt;item&gt;55&lt;/item&gt;&lt;/record-ids&gt;&lt;/item&gt;&lt;/Libraries&gt;"/>
  </w:docVars>
  <w:rsids>
    <w:rsidRoot w:val="00A0478F"/>
    <w:rsid w:val="000009AC"/>
    <w:rsid w:val="00001EF2"/>
    <w:rsid w:val="00002B11"/>
    <w:rsid w:val="00006CB4"/>
    <w:rsid w:val="00007569"/>
    <w:rsid w:val="00010601"/>
    <w:rsid w:val="0001118B"/>
    <w:rsid w:val="000112D0"/>
    <w:rsid w:val="00011347"/>
    <w:rsid w:val="00011B72"/>
    <w:rsid w:val="00011B9B"/>
    <w:rsid w:val="0001361D"/>
    <w:rsid w:val="00013EF5"/>
    <w:rsid w:val="000143CD"/>
    <w:rsid w:val="000159F5"/>
    <w:rsid w:val="00016A10"/>
    <w:rsid w:val="00017422"/>
    <w:rsid w:val="00017890"/>
    <w:rsid w:val="000213DB"/>
    <w:rsid w:val="00024342"/>
    <w:rsid w:val="000262E6"/>
    <w:rsid w:val="0002665E"/>
    <w:rsid w:val="0002692F"/>
    <w:rsid w:val="00026DAC"/>
    <w:rsid w:val="00026EF0"/>
    <w:rsid w:val="00030493"/>
    <w:rsid w:val="00032D39"/>
    <w:rsid w:val="00035FE5"/>
    <w:rsid w:val="00036573"/>
    <w:rsid w:val="00037DA1"/>
    <w:rsid w:val="00040A1D"/>
    <w:rsid w:val="00041400"/>
    <w:rsid w:val="00041CB0"/>
    <w:rsid w:val="00042BF7"/>
    <w:rsid w:val="000438D8"/>
    <w:rsid w:val="00045027"/>
    <w:rsid w:val="000456DC"/>
    <w:rsid w:val="00050164"/>
    <w:rsid w:val="0005423A"/>
    <w:rsid w:val="00054AA1"/>
    <w:rsid w:val="00055AFB"/>
    <w:rsid w:val="000618B6"/>
    <w:rsid w:val="00063E33"/>
    <w:rsid w:val="000700A5"/>
    <w:rsid w:val="0007084D"/>
    <w:rsid w:val="0007207F"/>
    <w:rsid w:val="000730FF"/>
    <w:rsid w:val="00073665"/>
    <w:rsid w:val="000743F1"/>
    <w:rsid w:val="00074419"/>
    <w:rsid w:val="0007452B"/>
    <w:rsid w:val="00074893"/>
    <w:rsid w:val="000757DF"/>
    <w:rsid w:val="00075BCA"/>
    <w:rsid w:val="00077769"/>
    <w:rsid w:val="000825D4"/>
    <w:rsid w:val="00085262"/>
    <w:rsid w:val="00090E59"/>
    <w:rsid w:val="0009121D"/>
    <w:rsid w:val="00092567"/>
    <w:rsid w:val="00093028"/>
    <w:rsid w:val="00093E23"/>
    <w:rsid w:val="00094869"/>
    <w:rsid w:val="00096B3B"/>
    <w:rsid w:val="00096C61"/>
    <w:rsid w:val="0009702C"/>
    <w:rsid w:val="000A0A76"/>
    <w:rsid w:val="000A0D56"/>
    <w:rsid w:val="000A30ED"/>
    <w:rsid w:val="000A5F4F"/>
    <w:rsid w:val="000B0A22"/>
    <w:rsid w:val="000B15BC"/>
    <w:rsid w:val="000B173C"/>
    <w:rsid w:val="000B1AF5"/>
    <w:rsid w:val="000B1FF5"/>
    <w:rsid w:val="000B2788"/>
    <w:rsid w:val="000B2B80"/>
    <w:rsid w:val="000B33CF"/>
    <w:rsid w:val="000B6CB7"/>
    <w:rsid w:val="000B6E41"/>
    <w:rsid w:val="000C0754"/>
    <w:rsid w:val="000C0A2A"/>
    <w:rsid w:val="000C11F7"/>
    <w:rsid w:val="000C1DA6"/>
    <w:rsid w:val="000C5EF6"/>
    <w:rsid w:val="000C7A4A"/>
    <w:rsid w:val="000D1AE1"/>
    <w:rsid w:val="000D4119"/>
    <w:rsid w:val="000D4249"/>
    <w:rsid w:val="000D6AF8"/>
    <w:rsid w:val="000D7CFB"/>
    <w:rsid w:val="000D7D64"/>
    <w:rsid w:val="000E158B"/>
    <w:rsid w:val="000E1F83"/>
    <w:rsid w:val="000E2AF7"/>
    <w:rsid w:val="000E3064"/>
    <w:rsid w:val="000E5FB0"/>
    <w:rsid w:val="000E7032"/>
    <w:rsid w:val="000F11EC"/>
    <w:rsid w:val="000F1696"/>
    <w:rsid w:val="000F2824"/>
    <w:rsid w:val="000F3B70"/>
    <w:rsid w:val="000F3C17"/>
    <w:rsid w:val="000F63B7"/>
    <w:rsid w:val="00100047"/>
    <w:rsid w:val="00104857"/>
    <w:rsid w:val="001051B0"/>
    <w:rsid w:val="0011027E"/>
    <w:rsid w:val="00111EE3"/>
    <w:rsid w:val="0011280B"/>
    <w:rsid w:val="00117A41"/>
    <w:rsid w:val="00120C05"/>
    <w:rsid w:val="0012142B"/>
    <w:rsid w:val="00121900"/>
    <w:rsid w:val="00123096"/>
    <w:rsid w:val="00126D7D"/>
    <w:rsid w:val="00132A7D"/>
    <w:rsid w:val="00132B4D"/>
    <w:rsid w:val="00133FB0"/>
    <w:rsid w:val="00140CCF"/>
    <w:rsid w:val="001412F5"/>
    <w:rsid w:val="00142F41"/>
    <w:rsid w:val="0014415A"/>
    <w:rsid w:val="00145691"/>
    <w:rsid w:val="00155249"/>
    <w:rsid w:val="00155FE1"/>
    <w:rsid w:val="001565D6"/>
    <w:rsid w:val="001569D3"/>
    <w:rsid w:val="00156BF6"/>
    <w:rsid w:val="0016181F"/>
    <w:rsid w:val="001636DD"/>
    <w:rsid w:val="001644DD"/>
    <w:rsid w:val="00170374"/>
    <w:rsid w:val="001704A5"/>
    <w:rsid w:val="00170F9A"/>
    <w:rsid w:val="001719C6"/>
    <w:rsid w:val="00171A4A"/>
    <w:rsid w:val="00173CBF"/>
    <w:rsid w:val="00180032"/>
    <w:rsid w:val="001855C9"/>
    <w:rsid w:val="001870FA"/>
    <w:rsid w:val="0019035B"/>
    <w:rsid w:val="00192502"/>
    <w:rsid w:val="001963C4"/>
    <w:rsid w:val="00196D00"/>
    <w:rsid w:val="001A3D65"/>
    <w:rsid w:val="001A622B"/>
    <w:rsid w:val="001B3ECD"/>
    <w:rsid w:val="001B75DE"/>
    <w:rsid w:val="001C12B2"/>
    <w:rsid w:val="001C39EC"/>
    <w:rsid w:val="001C6335"/>
    <w:rsid w:val="001C6D2E"/>
    <w:rsid w:val="001D12E2"/>
    <w:rsid w:val="001D2BA8"/>
    <w:rsid w:val="001D3735"/>
    <w:rsid w:val="001D409C"/>
    <w:rsid w:val="001E4110"/>
    <w:rsid w:val="001E46F1"/>
    <w:rsid w:val="001E6810"/>
    <w:rsid w:val="001E6B58"/>
    <w:rsid w:val="001E6FA4"/>
    <w:rsid w:val="001E777E"/>
    <w:rsid w:val="001E77AB"/>
    <w:rsid w:val="001E7CE6"/>
    <w:rsid w:val="001F1981"/>
    <w:rsid w:val="001F4605"/>
    <w:rsid w:val="001F5682"/>
    <w:rsid w:val="001F5F55"/>
    <w:rsid w:val="001F65BF"/>
    <w:rsid w:val="0020313C"/>
    <w:rsid w:val="0020448E"/>
    <w:rsid w:val="0020553A"/>
    <w:rsid w:val="002076BD"/>
    <w:rsid w:val="00210048"/>
    <w:rsid w:val="0021223E"/>
    <w:rsid w:val="00212BF4"/>
    <w:rsid w:val="00216E71"/>
    <w:rsid w:val="00217F89"/>
    <w:rsid w:val="002205AF"/>
    <w:rsid w:val="00220AC6"/>
    <w:rsid w:val="00221234"/>
    <w:rsid w:val="00221C0E"/>
    <w:rsid w:val="00221FEB"/>
    <w:rsid w:val="0022312D"/>
    <w:rsid w:val="00223B31"/>
    <w:rsid w:val="00227CE2"/>
    <w:rsid w:val="00230E60"/>
    <w:rsid w:val="0023593F"/>
    <w:rsid w:val="00236A57"/>
    <w:rsid w:val="00241F04"/>
    <w:rsid w:val="002422F3"/>
    <w:rsid w:val="0024596D"/>
    <w:rsid w:val="00250124"/>
    <w:rsid w:val="00250785"/>
    <w:rsid w:val="00250C34"/>
    <w:rsid w:val="00250D6D"/>
    <w:rsid w:val="00251F11"/>
    <w:rsid w:val="00256C22"/>
    <w:rsid w:val="00260B0E"/>
    <w:rsid w:val="00260CA4"/>
    <w:rsid w:val="002645EA"/>
    <w:rsid w:val="0026560D"/>
    <w:rsid w:val="002668D9"/>
    <w:rsid w:val="00266C1E"/>
    <w:rsid w:val="002679CD"/>
    <w:rsid w:val="00270B08"/>
    <w:rsid w:val="00280CE6"/>
    <w:rsid w:val="002851E0"/>
    <w:rsid w:val="0028738D"/>
    <w:rsid w:val="00287AF2"/>
    <w:rsid w:val="00291198"/>
    <w:rsid w:val="00291C51"/>
    <w:rsid w:val="002921EC"/>
    <w:rsid w:val="002957AD"/>
    <w:rsid w:val="002A132C"/>
    <w:rsid w:val="002A1B67"/>
    <w:rsid w:val="002A42C0"/>
    <w:rsid w:val="002A5208"/>
    <w:rsid w:val="002A5F68"/>
    <w:rsid w:val="002A68BE"/>
    <w:rsid w:val="002B065C"/>
    <w:rsid w:val="002B15D2"/>
    <w:rsid w:val="002B1EC5"/>
    <w:rsid w:val="002B20CA"/>
    <w:rsid w:val="002B54D0"/>
    <w:rsid w:val="002B5833"/>
    <w:rsid w:val="002B688D"/>
    <w:rsid w:val="002C174B"/>
    <w:rsid w:val="002C371A"/>
    <w:rsid w:val="002C4326"/>
    <w:rsid w:val="002C4A0A"/>
    <w:rsid w:val="002C5799"/>
    <w:rsid w:val="002C7912"/>
    <w:rsid w:val="002C7BFB"/>
    <w:rsid w:val="002D0404"/>
    <w:rsid w:val="002D0685"/>
    <w:rsid w:val="002D0858"/>
    <w:rsid w:val="002D4A95"/>
    <w:rsid w:val="002D4FF2"/>
    <w:rsid w:val="002D5F2A"/>
    <w:rsid w:val="002E10C2"/>
    <w:rsid w:val="002E139B"/>
    <w:rsid w:val="002E25EE"/>
    <w:rsid w:val="002E34B2"/>
    <w:rsid w:val="002E4311"/>
    <w:rsid w:val="002E5278"/>
    <w:rsid w:val="002E5CD7"/>
    <w:rsid w:val="002E6752"/>
    <w:rsid w:val="002F0F92"/>
    <w:rsid w:val="002F2351"/>
    <w:rsid w:val="002F30B0"/>
    <w:rsid w:val="002F4A08"/>
    <w:rsid w:val="002F7685"/>
    <w:rsid w:val="00303F76"/>
    <w:rsid w:val="00307EE0"/>
    <w:rsid w:val="00311A39"/>
    <w:rsid w:val="00313D32"/>
    <w:rsid w:val="00314636"/>
    <w:rsid w:val="00314D67"/>
    <w:rsid w:val="003153AE"/>
    <w:rsid w:val="00315A22"/>
    <w:rsid w:val="00315DCF"/>
    <w:rsid w:val="0031618F"/>
    <w:rsid w:val="003164E9"/>
    <w:rsid w:val="0031776D"/>
    <w:rsid w:val="003226D4"/>
    <w:rsid w:val="003227DA"/>
    <w:rsid w:val="00323A6C"/>
    <w:rsid w:val="0032464A"/>
    <w:rsid w:val="0032609A"/>
    <w:rsid w:val="003262EC"/>
    <w:rsid w:val="00332185"/>
    <w:rsid w:val="00333E79"/>
    <w:rsid w:val="00334A8B"/>
    <w:rsid w:val="003374D7"/>
    <w:rsid w:val="00337720"/>
    <w:rsid w:val="00340F4B"/>
    <w:rsid w:val="00341546"/>
    <w:rsid w:val="003425B7"/>
    <w:rsid w:val="00347C7C"/>
    <w:rsid w:val="00354E04"/>
    <w:rsid w:val="00356B30"/>
    <w:rsid w:val="00356FE5"/>
    <w:rsid w:val="00360B61"/>
    <w:rsid w:val="00361C83"/>
    <w:rsid w:val="00362D75"/>
    <w:rsid w:val="0036383B"/>
    <w:rsid w:val="00364699"/>
    <w:rsid w:val="00364B74"/>
    <w:rsid w:val="00367EDC"/>
    <w:rsid w:val="00371A78"/>
    <w:rsid w:val="003733AD"/>
    <w:rsid w:val="00373735"/>
    <w:rsid w:val="00380F30"/>
    <w:rsid w:val="00384D96"/>
    <w:rsid w:val="00385CBB"/>
    <w:rsid w:val="00390167"/>
    <w:rsid w:val="003911D1"/>
    <w:rsid w:val="003916A7"/>
    <w:rsid w:val="003925A6"/>
    <w:rsid w:val="0039614C"/>
    <w:rsid w:val="003A01A8"/>
    <w:rsid w:val="003A405D"/>
    <w:rsid w:val="003A4951"/>
    <w:rsid w:val="003A590F"/>
    <w:rsid w:val="003A5A03"/>
    <w:rsid w:val="003A6391"/>
    <w:rsid w:val="003A6727"/>
    <w:rsid w:val="003A6BB2"/>
    <w:rsid w:val="003B0B50"/>
    <w:rsid w:val="003B12EA"/>
    <w:rsid w:val="003B3AFF"/>
    <w:rsid w:val="003B4B4B"/>
    <w:rsid w:val="003B52BF"/>
    <w:rsid w:val="003C0219"/>
    <w:rsid w:val="003C2B58"/>
    <w:rsid w:val="003C63D1"/>
    <w:rsid w:val="003D0428"/>
    <w:rsid w:val="003D18BB"/>
    <w:rsid w:val="003D2B0D"/>
    <w:rsid w:val="003D2DE2"/>
    <w:rsid w:val="003D3FDC"/>
    <w:rsid w:val="003D4191"/>
    <w:rsid w:val="003D62FE"/>
    <w:rsid w:val="003D639D"/>
    <w:rsid w:val="003D64F5"/>
    <w:rsid w:val="003D7ADF"/>
    <w:rsid w:val="003E0FA4"/>
    <w:rsid w:val="003E3F80"/>
    <w:rsid w:val="003E426B"/>
    <w:rsid w:val="003E4C14"/>
    <w:rsid w:val="003E561E"/>
    <w:rsid w:val="003E58B7"/>
    <w:rsid w:val="003E75CD"/>
    <w:rsid w:val="003F0F99"/>
    <w:rsid w:val="003F1350"/>
    <w:rsid w:val="003F1AD5"/>
    <w:rsid w:val="003F1EFE"/>
    <w:rsid w:val="003F3126"/>
    <w:rsid w:val="003F4618"/>
    <w:rsid w:val="003F7D94"/>
    <w:rsid w:val="003F7FD3"/>
    <w:rsid w:val="004007EE"/>
    <w:rsid w:val="004018FB"/>
    <w:rsid w:val="00403B97"/>
    <w:rsid w:val="00407497"/>
    <w:rsid w:val="0040758F"/>
    <w:rsid w:val="00407AED"/>
    <w:rsid w:val="00411F13"/>
    <w:rsid w:val="00413080"/>
    <w:rsid w:val="0041338D"/>
    <w:rsid w:val="00414225"/>
    <w:rsid w:val="00414314"/>
    <w:rsid w:val="00414C85"/>
    <w:rsid w:val="004165BA"/>
    <w:rsid w:val="00417745"/>
    <w:rsid w:val="00420568"/>
    <w:rsid w:val="00423BE9"/>
    <w:rsid w:val="00425DCA"/>
    <w:rsid w:val="004274B5"/>
    <w:rsid w:val="004279CC"/>
    <w:rsid w:val="004313C6"/>
    <w:rsid w:val="004331E7"/>
    <w:rsid w:val="004339FF"/>
    <w:rsid w:val="0043506A"/>
    <w:rsid w:val="004370EF"/>
    <w:rsid w:val="00440303"/>
    <w:rsid w:val="00440EDA"/>
    <w:rsid w:val="00440F52"/>
    <w:rsid w:val="0044208B"/>
    <w:rsid w:val="00445AF3"/>
    <w:rsid w:val="00445E41"/>
    <w:rsid w:val="00446AA0"/>
    <w:rsid w:val="00447F3E"/>
    <w:rsid w:val="00450339"/>
    <w:rsid w:val="0045431A"/>
    <w:rsid w:val="004547E6"/>
    <w:rsid w:val="00456AC2"/>
    <w:rsid w:val="0045735E"/>
    <w:rsid w:val="00463335"/>
    <w:rsid w:val="00463A21"/>
    <w:rsid w:val="00464EA9"/>
    <w:rsid w:val="00465064"/>
    <w:rsid w:val="0047335E"/>
    <w:rsid w:val="0048232A"/>
    <w:rsid w:val="00483CB6"/>
    <w:rsid w:val="00484CBB"/>
    <w:rsid w:val="00485249"/>
    <w:rsid w:val="00485BFE"/>
    <w:rsid w:val="004863D4"/>
    <w:rsid w:val="004863F8"/>
    <w:rsid w:val="0048682F"/>
    <w:rsid w:val="00493BC4"/>
    <w:rsid w:val="00493C7A"/>
    <w:rsid w:val="00495416"/>
    <w:rsid w:val="00496463"/>
    <w:rsid w:val="004A0887"/>
    <w:rsid w:val="004A24B5"/>
    <w:rsid w:val="004A3CEB"/>
    <w:rsid w:val="004A414C"/>
    <w:rsid w:val="004A46BF"/>
    <w:rsid w:val="004A6633"/>
    <w:rsid w:val="004B0663"/>
    <w:rsid w:val="004B2734"/>
    <w:rsid w:val="004B3089"/>
    <w:rsid w:val="004B3FAE"/>
    <w:rsid w:val="004C34BC"/>
    <w:rsid w:val="004C4BEB"/>
    <w:rsid w:val="004C515A"/>
    <w:rsid w:val="004C53E5"/>
    <w:rsid w:val="004C59DC"/>
    <w:rsid w:val="004D00DF"/>
    <w:rsid w:val="004D0835"/>
    <w:rsid w:val="004D17E2"/>
    <w:rsid w:val="004D1A85"/>
    <w:rsid w:val="004D22DC"/>
    <w:rsid w:val="004D2933"/>
    <w:rsid w:val="004D2C7D"/>
    <w:rsid w:val="004D4FFE"/>
    <w:rsid w:val="004D5A20"/>
    <w:rsid w:val="004E0D69"/>
    <w:rsid w:val="004E19FB"/>
    <w:rsid w:val="004E23F1"/>
    <w:rsid w:val="004F004B"/>
    <w:rsid w:val="004F4481"/>
    <w:rsid w:val="004F4D50"/>
    <w:rsid w:val="004F6F8F"/>
    <w:rsid w:val="005033C8"/>
    <w:rsid w:val="005043BD"/>
    <w:rsid w:val="00507602"/>
    <w:rsid w:val="00512D33"/>
    <w:rsid w:val="005153E9"/>
    <w:rsid w:val="005158B0"/>
    <w:rsid w:val="00515DCE"/>
    <w:rsid w:val="005177A7"/>
    <w:rsid w:val="005219BA"/>
    <w:rsid w:val="00527FFA"/>
    <w:rsid w:val="0053011F"/>
    <w:rsid w:val="00530236"/>
    <w:rsid w:val="00534F3C"/>
    <w:rsid w:val="00535D03"/>
    <w:rsid w:val="00543BF6"/>
    <w:rsid w:val="00544C8F"/>
    <w:rsid w:val="00547BCB"/>
    <w:rsid w:val="00555361"/>
    <w:rsid w:val="00556431"/>
    <w:rsid w:val="005579C0"/>
    <w:rsid w:val="0056126F"/>
    <w:rsid w:val="0056383C"/>
    <w:rsid w:val="00565211"/>
    <w:rsid w:val="0056719C"/>
    <w:rsid w:val="00567345"/>
    <w:rsid w:val="00567D67"/>
    <w:rsid w:val="00570029"/>
    <w:rsid w:val="005706F0"/>
    <w:rsid w:val="0057073A"/>
    <w:rsid w:val="00571135"/>
    <w:rsid w:val="00571959"/>
    <w:rsid w:val="00571F2B"/>
    <w:rsid w:val="00573E1B"/>
    <w:rsid w:val="00575A8C"/>
    <w:rsid w:val="00575C04"/>
    <w:rsid w:val="005775D1"/>
    <w:rsid w:val="0058233C"/>
    <w:rsid w:val="00583DB0"/>
    <w:rsid w:val="005843C2"/>
    <w:rsid w:val="00587D76"/>
    <w:rsid w:val="00592B51"/>
    <w:rsid w:val="005A097D"/>
    <w:rsid w:val="005A09E8"/>
    <w:rsid w:val="005A1080"/>
    <w:rsid w:val="005A18AE"/>
    <w:rsid w:val="005A29BE"/>
    <w:rsid w:val="005A3662"/>
    <w:rsid w:val="005A38F2"/>
    <w:rsid w:val="005A435D"/>
    <w:rsid w:val="005A46B8"/>
    <w:rsid w:val="005A5C06"/>
    <w:rsid w:val="005B1262"/>
    <w:rsid w:val="005B1B36"/>
    <w:rsid w:val="005B4901"/>
    <w:rsid w:val="005B5194"/>
    <w:rsid w:val="005B7799"/>
    <w:rsid w:val="005C2EBE"/>
    <w:rsid w:val="005C3D55"/>
    <w:rsid w:val="005C4221"/>
    <w:rsid w:val="005C68D6"/>
    <w:rsid w:val="005D0C3F"/>
    <w:rsid w:val="005D0EAF"/>
    <w:rsid w:val="005D12FF"/>
    <w:rsid w:val="005D1595"/>
    <w:rsid w:val="005D35D4"/>
    <w:rsid w:val="005D3FE5"/>
    <w:rsid w:val="005D69C7"/>
    <w:rsid w:val="005D6D81"/>
    <w:rsid w:val="005E24CB"/>
    <w:rsid w:val="005E3480"/>
    <w:rsid w:val="005E4C10"/>
    <w:rsid w:val="005E70DF"/>
    <w:rsid w:val="005E72E8"/>
    <w:rsid w:val="005F0BE8"/>
    <w:rsid w:val="005F1826"/>
    <w:rsid w:val="005F1AB8"/>
    <w:rsid w:val="005F2842"/>
    <w:rsid w:val="005F2ACA"/>
    <w:rsid w:val="005F3500"/>
    <w:rsid w:val="005F469E"/>
    <w:rsid w:val="005F46FE"/>
    <w:rsid w:val="005F569B"/>
    <w:rsid w:val="0060023C"/>
    <w:rsid w:val="006002EE"/>
    <w:rsid w:val="006011F7"/>
    <w:rsid w:val="00603157"/>
    <w:rsid w:val="006031DA"/>
    <w:rsid w:val="006044A5"/>
    <w:rsid w:val="0060573A"/>
    <w:rsid w:val="006065DD"/>
    <w:rsid w:val="006109F5"/>
    <w:rsid w:val="00611633"/>
    <w:rsid w:val="00611F6B"/>
    <w:rsid w:val="00613275"/>
    <w:rsid w:val="00614AF4"/>
    <w:rsid w:val="0061668B"/>
    <w:rsid w:val="00620DAC"/>
    <w:rsid w:val="00621E9A"/>
    <w:rsid w:val="00622154"/>
    <w:rsid w:val="00624D34"/>
    <w:rsid w:val="00625217"/>
    <w:rsid w:val="00625890"/>
    <w:rsid w:val="00625A88"/>
    <w:rsid w:val="006261DD"/>
    <w:rsid w:val="0062641B"/>
    <w:rsid w:val="00626532"/>
    <w:rsid w:val="00627803"/>
    <w:rsid w:val="00627AAD"/>
    <w:rsid w:val="00632645"/>
    <w:rsid w:val="00632DD1"/>
    <w:rsid w:val="00633534"/>
    <w:rsid w:val="006351BF"/>
    <w:rsid w:val="00636958"/>
    <w:rsid w:val="00640542"/>
    <w:rsid w:val="00640FE4"/>
    <w:rsid w:val="006419EA"/>
    <w:rsid w:val="00641E8D"/>
    <w:rsid w:val="00643DA3"/>
    <w:rsid w:val="00643FF2"/>
    <w:rsid w:val="00650897"/>
    <w:rsid w:val="006521A9"/>
    <w:rsid w:val="00656774"/>
    <w:rsid w:val="00657119"/>
    <w:rsid w:val="006615C3"/>
    <w:rsid w:val="0066235F"/>
    <w:rsid w:val="0066525D"/>
    <w:rsid w:val="006667B9"/>
    <w:rsid w:val="00666FA5"/>
    <w:rsid w:val="006709BA"/>
    <w:rsid w:val="00673EAE"/>
    <w:rsid w:val="006766D0"/>
    <w:rsid w:val="006768C2"/>
    <w:rsid w:val="00676B7E"/>
    <w:rsid w:val="006813CE"/>
    <w:rsid w:val="00681AEE"/>
    <w:rsid w:val="0068343E"/>
    <w:rsid w:val="00683696"/>
    <w:rsid w:val="00684531"/>
    <w:rsid w:val="0068574A"/>
    <w:rsid w:val="0068607E"/>
    <w:rsid w:val="006862D4"/>
    <w:rsid w:val="00686D28"/>
    <w:rsid w:val="00690E80"/>
    <w:rsid w:val="006934D3"/>
    <w:rsid w:val="006937DA"/>
    <w:rsid w:val="00695A09"/>
    <w:rsid w:val="0069699A"/>
    <w:rsid w:val="00696FB7"/>
    <w:rsid w:val="00697EE5"/>
    <w:rsid w:val="006A01A6"/>
    <w:rsid w:val="006A24AC"/>
    <w:rsid w:val="006A2714"/>
    <w:rsid w:val="006A3BDB"/>
    <w:rsid w:val="006A59A1"/>
    <w:rsid w:val="006B1278"/>
    <w:rsid w:val="006B2507"/>
    <w:rsid w:val="006C0125"/>
    <w:rsid w:val="006C25D1"/>
    <w:rsid w:val="006C5D26"/>
    <w:rsid w:val="006C5FC2"/>
    <w:rsid w:val="006C7D86"/>
    <w:rsid w:val="006D3414"/>
    <w:rsid w:val="006D501C"/>
    <w:rsid w:val="006E2BAF"/>
    <w:rsid w:val="006E44B8"/>
    <w:rsid w:val="006E4A65"/>
    <w:rsid w:val="006E50E0"/>
    <w:rsid w:val="006F10AF"/>
    <w:rsid w:val="006F47A7"/>
    <w:rsid w:val="006F5801"/>
    <w:rsid w:val="006F602A"/>
    <w:rsid w:val="007001A3"/>
    <w:rsid w:val="007003B6"/>
    <w:rsid w:val="007011EB"/>
    <w:rsid w:val="00701EBD"/>
    <w:rsid w:val="00701EE3"/>
    <w:rsid w:val="00702FF1"/>
    <w:rsid w:val="007038A5"/>
    <w:rsid w:val="0070599D"/>
    <w:rsid w:val="007109F3"/>
    <w:rsid w:val="007149C5"/>
    <w:rsid w:val="00714A38"/>
    <w:rsid w:val="00720996"/>
    <w:rsid w:val="00721E75"/>
    <w:rsid w:val="007235BA"/>
    <w:rsid w:val="00724847"/>
    <w:rsid w:val="00737B08"/>
    <w:rsid w:val="00744015"/>
    <w:rsid w:val="00745EA7"/>
    <w:rsid w:val="0074607A"/>
    <w:rsid w:val="007464A3"/>
    <w:rsid w:val="00746B19"/>
    <w:rsid w:val="0074798C"/>
    <w:rsid w:val="007513B0"/>
    <w:rsid w:val="00751704"/>
    <w:rsid w:val="00752779"/>
    <w:rsid w:val="0076040D"/>
    <w:rsid w:val="00763221"/>
    <w:rsid w:val="0076357A"/>
    <w:rsid w:val="007639CF"/>
    <w:rsid w:val="00764743"/>
    <w:rsid w:val="00764778"/>
    <w:rsid w:val="00767317"/>
    <w:rsid w:val="00772050"/>
    <w:rsid w:val="00774535"/>
    <w:rsid w:val="0077611D"/>
    <w:rsid w:val="007832B9"/>
    <w:rsid w:val="007839EA"/>
    <w:rsid w:val="00785953"/>
    <w:rsid w:val="00785B4B"/>
    <w:rsid w:val="00785D6A"/>
    <w:rsid w:val="007912E3"/>
    <w:rsid w:val="00794358"/>
    <w:rsid w:val="0079597D"/>
    <w:rsid w:val="007A1B2D"/>
    <w:rsid w:val="007A301A"/>
    <w:rsid w:val="007A620C"/>
    <w:rsid w:val="007A7B91"/>
    <w:rsid w:val="007B117F"/>
    <w:rsid w:val="007B2DE4"/>
    <w:rsid w:val="007B2E9C"/>
    <w:rsid w:val="007B39D1"/>
    <w:rsid w:val="007B56D3"/>
    <w:rsid w:val="007B5D23"/>
    <w:rsid w:val="007B7D45"/>
    <w:rsid w:val="007C0CE9"/>
    <w:rsid w:val="007C55EC"/>
    <w:rsid w:val="007D0A53"/>
    <w:rsid w:val="007D0F0E"/>
    <w:rsid w:val="007D11DD"/>
    <w:rsid w:val="007D1683"/>
    <w:rsid w:val="007D25E3"/>
    <w:rsid w:val="007D3694"/>
    <w:rsid w:val="007D5810"/>
    <w:rsid w:val="007D7E95"/>
    <w:rsid w:val="007E14D0"/>
    <w:rsid w:val="007E22E5"/>
    <w:rsid w:val="007E5CAA"/>
    <w:rsid w:val="007E5D3D"/>
    <w:rsid w:val="007F1BEF"/>
    <w:rsid w:val="007F214D"/>
    <w:rsid w:val="007F5E66"/>
    <w:rsid w:val="007F69BE"/>
    <w:rsid w:val="007F7178"/>
    <w:rsid w:val="00802703"/>
    <w:rsid w:val="0080306B"/>
    <w:rsid w:val="00803377"/>
    <w:rsid w:val="00803B8C"/>
    <w:rsid w:val="0081040F"/>
    <w:rsid w:val="00810B19"/>
    <w:rsid w:val="00811423"/>
    <w:rsid w:val="008121AF"/>
    <w:rsid w:val="008129E6"/>
    <w:rsid w:val="00816135"/>
    <w:rsid w:val="00816267"/>
    <w:rsid w:val="00816760"/>
    <w:rsid w:val="00822240"/>
    <w:rsid w:val="00824C37"/>
    <w:rsid w:val="008275C5"/>
    <w:rsid w:val="0083048F"/>
    <w:rsid w:val="00833149"/>
    <w:rsid w:val="00834487"/>
    <w:rsid w:val="0083500C"/>
    <w:rsid w:val="00835B33"/>
    <w:rsid w:val="00837092"/>
    <w:rsid w:val="008404C5"/>
    <w:rsid w:val="00841DE8"/>
    <w:rsid w:val="008426C3"/>
    <w:rsid w:val="008427C4"/>
    <w:rsid w:val="00844097"/>
    <w:rsid w:val="00846DD6"/>
    <w:rsid w:val="00850230"/>
    <w:rsid w:val="00850274"/>
    <w:rsid w:val="00850537"/>
    <w:rsid w:val="00851383"/>
    <w:rsid w:val="00851922"/>
    <w:rsid w:val="00851BBA"/>
    <w:rsid w:val="00854F30"/>
    <w:rsid w:val="00856E3A"/>
    <w:rsid w:val="0085785C"/>
    <w:rsid w:val="0086004A"/>
    <w:rsid w:val="00860C55"/>
    <w:rsid w:val="0086122F"/>
    <w:rsid w:val="00861854"/>
    <w:rsid w:val="00862896"/>
    <w:rsid w:val="0086508C"/>
    <w:rsid w:val="00866D7B"/>
    <w:rsid w:val="00867719"/>
    <w:rsid w:val="00867B35"/>
    <w:rsid w:val="008716F0"/>
    <w:rsid w:val="0087192F"/>
    <w:rsid w:val="00874274"/>
    <w:rsid w:val="0088118A"/>
    <w:rsid w:val="00890D7C"/>
    <w:rsid w:val="00892695"/>
    <w:rsid w:val="008A10D5"/>
    <w:rsid w:val="008A1556"/>
    <w:rsid w:val="008A489A"/>
    <w:rsid w:val="008A4DE1"/>
    <w:rsid w:val="008B0A47"/>
    <w:rsid w:val="008B3858"/>
    <w:rsid w:val="008B520D"/>
    <w:rsid w:val="008B600F"/>
    <w:rsid w:val="008B633F"/>
    <w:rsid w:val="008B7597"/>
    <w:rsid w:val="008B7A01"/>
    <w:rsid w:val="008C2096"/>
    <w:rsid w:val="008C24FF"/>
    <w:rsid w:val="008C2F87"/>
    <w:rsid w:val="008C37EE"/>
    <w:rsid w:val="008C3ABB"/>
    <w:rsid w:val="008C4C67"/>
    <w:rsid w:val="008C4E4F"/>
    <w:rsid w:val="008C5F06"/>
    <w:rsid w:val="008C770F"/>
    <w:rsid w:val="008C78E4"/>
    <w:rsid w:val="008D56A1"/>
    <w:rsid w:val="008D66AA"/>
    <w:rsid w:val="008D6A70"/>
    <w:rsid w:val="008E12C3"/>
    <w:rsid w:val="008E1E81"/>
    <w:rsid w:val="008E3F2B"/>
    <w:rsid w:val="008E5F1F"/>
    <w:rsid w:val="008E7664"/>
    <w:rsid w:val="008F0888"/>
    <w:rsid w:val="008F43F7"/>
    <w:rsid w:val="009008BA"/>
    <w:rsid w:val="00901F79"/>
    <w:rsid w:val="0090272E"/>
    <w:rsid w:val="00905971"/>
    <w:rsid w:val="00905F19"/>
    <w:rsid w:val="009070BE"/>
    <w:rsid w:val="009075C5"/>
    <w:rsid w:val="00907C64"/>
    <w:rsid w:val="00907F36"/>
    <w:rsid w:val="009109FD"/>
    <w:rsid w:val="00912249"/>
    <w:rsid w:val="009133B0"/>
    <w:rsid w:val="009155E3"/>
    <w:rsid w:val="00920B55"/>
    <w:rsid w:val="009210B0"/>
    <w:rsid w:val="00921106"/>
    <w:rsid w:val="0092174E"/>
    <w:rsid w:val="00922028"/>
    <w:rsid w:val="0092206D"/>
    <w:rsid w:val="00922C8F"/>
    <w:rsid w:val="00923759"/>
    <w:rsid w:val="00923A5A"/>
    <w:rsid w:val="00925362"/>
    <w:rsid w:val="00926EA9"/>
    <w:rsid w:val="00927E75"/>
    <w:rsid w:val="00930624"/>
    <w:rsid w:val="0093371D"/>
    <w:rsid w:val="009341CB"/>
    <w:rsid w:val="00934A2F"/>
    <w:rsid w:val="00935647"/>
    <w:rsid w:val="00940C57"/>
    <w:rsid w:val="009460E6"/>
    <w:rsid w:val="0095050A"/>
    <w:rsid w:val="009567EB"/>
    <w:rsid w:val="009623DC"/>
    <w:rsid w:val="00966CEC"/>
    <w:rsid w:val="00970E40"/>
    <w:rsid w:val="0097201B"/>
    <w:rsid w:val="00972A79"/>
    <w:rsid w:val="00974447"/>
    <w:rsid w:val="00974620"/>
    <w:rsid w:val="00975FD8"/>
    <w:rsid w:val="00977267"/>
    <w:rsid w:val="009779F7"/>
    <w:rsid w:val="00980E9D"/>
    <w:rsid w:val="0098191E"/>
    <w:rsid w:val="009838E7"/>
    <w:rsid w:val="00986C9E"/>
    <w:rsid w:val="00986EC2"/>
    <w:rsid w:val="00986F0B"/>
    <w:rsid w:val="009901D4"/>
    <w:rsid w:val="009904DF"/>
    <w:rsid w:val="009937DA"/>
    <w:rsid w:val="00994FAC"/>
    <w:rsid w:val="0099672F"/>
    <w:rsid w:val="00996CBB"/>
    <w:rsid w:val="0099798A"/>
    <w:rsid w:val="00997CD0"/>
    <w:rsid w:val="009A03B4"/>
    <w:rsid w:val="009A0522"/>
    <w:rsid w:val="009A0919"/>
    <w:rsid w:val="009A13F1"/>
    <w:rsid w:val="009A3966"/>
    <w:rsid w:val="009A65B2"/>
    <w:rsid w:val="009B0323"/>
    <w:rsid w:val="009B04B7"/>
    <w:rsid w:val="009B4658"/>
    <w:rsid w:val="009C09AF"/>
    <w:rsid w:val="009C30CD"/>
    <w:rsid w:val="009C3566"/>
    <w:rsid w:val="009C7EC7"/>
    <w:rsid w:val="009D1709"/>
    <w:rsid w:val="009D2683"/>
    <w:rsid w:val="009D35D2"/>
    <w:rsid w:val="009D4364"/>
    <w:rsid w:val="009D479E"/>
    <w:rsid w:val="009D5FFE"/>
    <w:rsid w:val="009D6A07"/>
    <w:rsid w:val="009E2C11"/>
    <w:rsid w:val="009F12EC"/>
    <w:rsid w:val="009F220B"/>
    <w:rsid w:val="009F4D66"/>
    <w:rsid w:val="009F592B"/>
    <w:rsid w:val="00A02B75"/>
    <w:rsid w:val="00A02BA4"/>
    <w:rsid w:val="00A0478F"/>
    <w:rsid w:val="00A04E9E"/>
    <w:rsid w:val="00A069B1"/>
    <w:rsid w:val="00A132A5"/>
    <w:rsid w:val="00A15B2F"/>
    <w:rsid w:val="00A217E3"/>
    <w:rsid w:val="00A24A2F"/>
    <w:rsid w:val="00A2621D"/>
    <w:rsid w:val="00A27FB0"/>
    <w:rsid w:val="00A3399C"/>
    <w:rsid w:val="00A34191"/>
    <w:rsid w:val="00A3420E"/>
    <w:rsid w:val="00A34EB2"/>
    <w:rsid w:val="00A356C8"/>
    <w:rsid w:val="00A36F0B"/>
    <w:rsid w:val="00A36FB7"/>
    <w:rsid w:val="00A403B9"/>
    <w:rsid w:val="00A4076B"/>
    <w:rsid w:val="00A415A9"/>
    <w:rsid w:val="00A443B9"/>
    <w:rsid w:val="00A44DB5"/>
    <w:rsid w:val="00A45C51"/>
    <w:rsid w:val="00A4625B"/>
    <w:rsid w:val="00A46464"/>
    <w:rsid w:val="00A47259"/>
    <w:rsid w:val="00A47839"/>
    <w:rsid w:val="00A478E5"/>
    <w:rsid w:val="00A54379"/>
    <w:rsid w:val="00A60691"/>
    <w:rsid w:val="00A60A6B"/>
    <w:rsid w:val="00A61190"/>
    <w:rsid w:val="00A62969"/>
    <w:rsid w:val="00A62C78"/>
    <w:rsid w:val="00A64642"/>
    <w:rsid w:val="00A661DB"/>
    <w:rsid w:val="00A67229"/>
    <w:rsid w:val="00A67CBB"/>
    <w:rsid w:val="00A70FE9"/>
    <w:rsid w:val="00A72C57"/>
    <w:rsid w:val="00A77762"/>
    <w:rsid w:val="00A8048B"/>
    <w:rsid w:val="00A82FFC"/>
    <w:rsid w:val="00A83512"/>
    <w:rsid w:val="00A8446E"/>
    <w:rsid w:val="00A85DEE"/>
    <w:rsid w:val="00A8714C"/>
    <w:rsid w:val="00A87F6F"/>
    <w:rsid w:val="00A904D5"/>
    <w:rsid w:val="00A916AB"/>
    <w:rsid w:val="00A92677"/>
    <w:rsid w:val="00A929DB"/>
    <w:rsid w:val="00A93DCB"/>
    <w:rsid w:val="00A948EB"/>
    <w:rsid w:val="00A94D41"/>
    <w:rsid w:val="00A9598C"/>
    <w:rsid w:val="00A96B9D"/>
    <w:rsid w:val="00AA0C63"/>
    <w:rsid w:val="00AA1634"/>
    <w:rsid w:val="00AA2BE6"/>
    <w:rsid w:val="00AA6B8C"/>
    <w:rsid w:val="00AA7FAB"/>
    <w:rsid w:val="00AA7FE3"/>
    <w:rsid w:val="00AB1443"/>
    <w:rsid w:val="00AB6EE9"/>
    <w:rsid w:val="00AC0C2A"/>
    <w:rsid w:val="00AC1441"/>
    <w:rsid w:val="00AC1B0F"/>
    <w:rsid w:val="00AC452F"/>
    <w:rsid w:val="00AC5D33"/>
    <w:rsid w:val="00AC63F2"/>
    <w:rsid w:val="00AC6642"/>
    <w:rsid w:val="00AC72B4"/>
    <w:rsid w:val="00AC77DD"/>
    <w:rsid w:val="00AD221A"/>
    <w:rsid w:val="00AD31CD"/>
    <w:rsid w:val="00AD3766"/>
    <w:rsid w:val="00AD408A"/>
    <w:rsid w:val="00AD49C3"/>
    <w:rsid w:val="00AD633C"/>
    <w:rsid w:val="00AD643C"/>
    <w:rsid w:val="00AD651D"/>
    <w:rsid w:val="00AD747F"/>
    <w:rsid w:val="00AD74E2"/>
    <w:rsid w:val="00AE084A"/>
    <w:rsid w:val="00AE338A"/>
    <w:rsid w:val="00AE3BAA"/>
    <w:rsid w:val="00AE48DA"/>
    <w:rsid w:val="00AF014E"/>
    <w:rsid w:val="00AF11AA"/>
    <w:rsid w:val="00AF32F6"/>
    <w:rsid w:val="00AF4F81"/>
    <w:rsid w:val="00AF5F15"/>
    <w:rsid w:val="00B0199F"/>
    <w:rsid w:val="00B02A27"/>
    <w:rsid w:val="00B06639"/>
    <w:rsid w:val="00B07EB9"/>
    <w:rsid w:val="00B12A08"/>
    <w:rsid w:val="00B16A9A"/>
    <w:rsid w:val="00B20593"/>
    <w:rsid w:val="00B208F4"/>
    <w:rsid w:val="00B20ADF"/>
    <w:rsid w:val="00B20CA9"/>
    <w:rsid w:val="00B20D25"/>
    <w:rsid w:val="00B23F13"/>
    <w:rsid w:val="00B26E22"/>
    <w:rsid w:val="00B27A2E"/>
    <w:rsid w:val="00B30E30"/>
    <w:rsid w:val="00B31E90"/>
    <w:rsid w:val="00B31F33"/>
    <w:rsid w:val="00B34210"/>
    <w:rsid w:val="00B35313"/>
    <w:rsid w:val="00B36175"/>
    <w:rsid w:val="00B36AA3"/>
    <w:rsid w:val="00B37921"/>
    <w:rsid w:val="00B41546"/>
    <w:rsid w:val="00B420CD"/>
    <w:rsid w:val="00B42F2C"/>
    <w:rsid w:val="00B442A2"/>
    <w:rsid w:val="00B468FF"/>
    <w:rsid w:val="00B46B71"/>
    <w:rsid w:val="00B50E16"/>
    <w:rsid w:val="00B5145C"/>
    <w:rsid w:val="00B529D1"/>
    <w:rsid w:val="00B53258"/>
    <w:rsid w:val="00B53EB0"/>
    <w:rsid w:val="00B53ED1"/>
    <w:rsid w:val="00B54086"/>
    <w:rsid w:val="00B54957"/>
    <w:rsid w:val="00B564C2"/>
    <w:rsid w:val="00B57425"/>
    <w:rsid w:val="00B579BB"/>
    <w:rsid w:val="00B6126E"/>
    <w:rsid w:val="00B62B8B"/>
    <w:rsid w:val="00B636D1"/>
    <w:rsid w:val="00B66DFC"/>
    <w:rsid w:val="00B73E2D"/>
    <w:rsid w:val="00B744F7"/>
    <w:rsid w:val="00B74A51"/>
    <w:rsid w:val="00B758A9"/>
    <w:rsid w:val="00B834B7"/>
    <w:rsid w:val="00B8447A"/>
    <w:rsid w:val="00B84EDC"/>
    <w:rsid w:val="00B855E3"/>
    <w:rsid w:val="00B867CA"/>
    <w:rsid w:val="00B907EE"/>
    <w:rsid w:val="00B92070"/>
    <w:rsid w:val="00B93639"/>
    <w:rsid w:val="00B953FA"/>
    <w:rsid w:val="00B968E5"/>
    <w:rsid w:val="00B96976"/>
    <w:rsid w:val="00B96D07"/>
    <w:rsid w:val="00B97C4E"/>
    <w:rsid w:val="00BA08E8"/>
    <w:rsid w:val="00BA54A0"/>
    <w:rsid w:val="00BA58F1"/>
    <w:rsid w:val="00BA6C4C"/>
    <w:rsid w:val="00BB06B5"/>
    <w:rsid w:val="00BB1554"/>
    <w:rsid w:val="00BB1DDD"/>
    <w:rsid w:val="00BB4D16"/>
    <w:rsid w:val="00BB5158"/>
    <w:rsid w:val="00BB6A46"/>
    <w:rsid w:val="00BB73E1"/>
    <w:rsid w:val="00BC1A54"/>
    <w:rsid w:val="00BC3645"/>
    <w:rsid w:val="00BC3FD0"/>
    <w:rsid w:val="00BC43F0"/>
    <w:rsid w:val="00BC4BC1"/>
    <w:rsid w:val="00BC4F20"/>
    <w:rsid w:val="00BC646A"/>
    <w:rsid w:val="00BD3615"/>
    <w:rsid w:val="00BD5FAE"/>
    <w:rsid w:val="00BD6F12"/>
    <w:rsid w:val="00BD7CB6"/>
    <w:rsid w:val="00BE0B96"/>
    <w:rsid w:val="00BE2C5E"/>
    <w:rsid w:val="00BE31B3"/>
    <w:rsid w:val="00BE32FF"/>
    <w:rsid w:val="00BE4DAC"/>
    <w:rsid w:val="00BE5C14"/>
    <w:rsid w:val="00BE611E"/>
    <w:rsid w:val="00BF0723"/>
    <w:rsid w:val="00BF0E5D"/>
    <w:rsid w:val="00BF1EBA"/>
    <w:rsid w:val="00BF2875"/>
    <w:rsid w:val="00BF3E3B"/>
    <w:rsid w:val="00BF478A"/>
    <w:rsid w:val="00BF4BD3"/>
    <w:rsid w:val="00BF5827"/>
    <w:rsid w:val="00BF5F33"/>
    <w:rsid w:val="00C00C62"/>
    <w:rsid w:val="00C03A7B"/>
    <w:rsid w:val="00C04105"/>
    <w:rsid w:val="00C04424"/>
    <w:rsid w:val="00C05565"/>
    <w:rsid w:val="00C05E5B"/>
    <w:rsid w:val="00C071EF"/>
    <w:rsid w:val="00C07BCA"/>
    <w:rsid w:val="00C1022F"/>
    <w:rsid w:val="00C106C6"/>
    <w:rsid w:val="00C16562"/>
    <w:rsid w:val="00C16E32"/>
    <w:rsid w:val="00C2333C"/>
    <w:rsid w:val="00C2609D"/>
    <w:rsid w:val="00C27AD9"/>
    <w:rsid w:val="00C31BE9"/>
    <w:rsid w:val="00C31D0F"/>
    <w:rsid w:val="00C33663"/>
    <w:rsid w:val="00C33EB6"/>
    <w:rsid w:val="00C34E82"/>
    <w:rsid w:val="00C36D23"/>
    <w:rsid w:val="00C40A04"/>
    <w:rsid w:val="00C44BC8"/>
    <w:rsid w:val="00C47EA5"/>
    <w:rsid w:val="00C54344"/>
    <w:rsid w:val="00C54EF4"/>
    <w:rsid w:val="00C556D8"/>
    <w:rsid w:val="00C55BB5"/>
    <w:rsid w:val="00C6005B"/>
    <w:rsid w:val="00C62935"/>
    <w:rsid w:val="00C653FD"/>
    <w:rsid w:val="00C709E4"/>
    <w:rsid w:val="00C70BBB"/>
    <w:rsid w:val="00C751A2"/>
    <w:rsid w:val="00C76B34"/>
    <w:rsid w:val="00C77839"/>
    <w:rsid w:val="00C77A5C"/>
    <w:rsid w:val="00C80AEE"/>
    <w:rsid w:val="00C82E24"/>
    <w:rsid w:val="00C838F6"/>
    <w:rsid w:val="00C841DE"/>
    <w:rsid w:val="00C85394"/>
    <w:rsid w:val="00C85573"/>
    <w:rsid w:val="00C87461"/>
    <w:rsid w:val="00C90EF1"/>
    <w:rsid w:val="00C91487"/>
    <w:rsid w:val="00C931D6"/>
    <w:rsid w:val="00C94ABC"/>
    <w:rsid w:val="00C94F53"/>
    <w:rsid w:val="00CA72E3"/>
    <w:rsid w:val="00CA7674"/>
    <w:rsid w:val="00CA7A01"/>
    <w:rsid w:val="00CB2A90"/>
    <w:rsid w:val="00CB37A6"/>
    <w:rsid w:val="00CB5792"/>
    <w:rsid w:val="00CC3A98"/>
    <w:rsid w:val="00CC6AEE"/>
    <w:rsid w:val="00CC6F38"/>
    <w:rsid w:val="00CC78E8"/>
    <w:rsid w:val="00CD09AA"/>
    <w:rsid w:val="00CD326A"/>
    <w:rsid w:val="00CD43D6"/>
    <w:rsid w:val="00CD5C22"/>
    <w:rsid w:val="00CD7F74"/>
    <w:rsid w:val="00CE23D7"/>
    <w:rsid w:val="00CE2825"/>
    <w:rsid w:val="00CF12F2"/>
    <w:rsid w:val="00CF189F"/>
    <w:rsid w:val="00CF2BE5"/>
    <w:rsid w:val="00CF30AA"/>
    <w:rsid w:val="00CF5D37"/>
    <w:rsid w:val="00CF611E"/>
    <w:rsid w:val="00D00F1A"/>
    <w:rsid w:val="00D068AA"/>
    <w:rsid w:val="00D10420"/>
    <w:rsid w:val="00D12332"/>
    <w:rsid w:val="00D1498B"/>
    <w:rsid w:val="00D14AEA"/>
    <w:rsid w:val="00D14B38"/>
    <w:rsid w:val="00D15A9B"/>
    <w:rsid w:val="00D15AA5"/>
    <w:rsid w:val="00D2511B"/>
    <w:rsid w:val="00D25183"/>
    <w:rsid w:val="00D302E3"/>
    <w:rsid w:val="00D32865"/>
    <w:rsid w:val="00D349AA"/>
    <w:rsid w:val="00D37B06"/>
    <w:rsid w:val="00D40025"/>
    <w:rsid w:val="00D42A99"/>
    <w:rsid w:val="00D42E6D"/>
    <w:rsid w:val="00D4372F"/>
    <w:rsid w:val="00D438A2"/>
    <w:rsid w:val="00D43BD3"/>
    <w:rsid w:val="00D44026"/>
    <w:rsid w:val="00D44DAE"/>
    <w:rsid w:val="00D51C56"/>
    <w:rsid w:val="00D521D5"/>
    <w:rsid w:val="00D52865"/>
    <w:rsid w:val="00D53CAC"/>
    <w:rsid w:val="00D63061"/>
    <w:rsid w:val="00D662ED"/>
    <w:rsid w:val="00D66755"/>
    <w:rsid w:val="00D66DBB"/>
    <w:rsid w:val="00D70829"/>
    <w:rsid w:val="00D718DC"/>
    <w:rsid w:val="00D72143"/>
    <w:rsid w:val="00D72C4F"/>
    <w:rsid w:val="00D754B9"/>
    <w:rsid w:val="00D762A3"/>
    <w:rsid w:val="00D76FEA"/>
    <w:rsid w:val="00D8003C"/>
    <w:rsid w:val="00D813FD"/>
    <w:rsid w:val="00D86B33"/>
    <w:rsid w:val="00D907C4"/>
    <w:rsid w:val="00D92DE0"/>
    <w:rsid w:val="00D94FEC"/>
    <w:rsid w:val="00D977F8"/>
    <w:rsid w:val="00D97A1A"/>
    <w:rsid w:val="00D97EC9"/>
    <w:rsid w:val="00DA0BFE"/>
    <w:rsid w:val="00DA6D33"/>
    <w:rsid w:val="00DA7054"/>
    <w:rsid w:val="00DA74CC"/>
    <w:rsid w:val="00DA785F"/>
    <w:rsid w:val="00DB0D8A"/>
    <w:rsid w:val="00DB145C"/>
    <w:rsid w:val="00DB1CF9"/>
    <w:rsid w:val="00DB1E92"/>
    <w:rsid w:val="00DB3DD9"/>
    <w:rsid w:val="00DB74BF"/>
    <w:rsid w:val="00DC0DC7"/>
    <w:rsid w:val="00DC2119"/>
    <w:rsid w:val="00DC2501"/>
    <w:rsid w:val="00DC339F"/>
    <w:rsid w:val="00DC4CD8"/>
    <w:rsid w:val="00DC4F73"/>
    <w:rsid w:val="00DC7843"/>
    <w:rsid w:val="00DC7BA9"/>
    <w:rsid w:val="00DD1712"/>
    <w:rsid w:val="00DD1C63"/>
    <w:rsid w:val="00DD2B0D"/>
    <w:rsid w:val="00DD2B16"/>
    <w:rsid w:val="00DD3046"/>
    <w:rsid w:val="00DD4F7D"/>
    <w:rsid w:val="00DD5E4B"/>
    <w:rsid w:val="00DE179C"/>
    <w:rsid w:val="00DE2093"/>
    <w:rsid w:val="00DE44EC"/>
    <w:rsid w:val="00DE49F5"/>
    <w:rsid w:val="00DE6393"/>
    <w:rsid w:val="00DE77EA"/>
    <w:rsid w:val="00DF2087"/>
    <w:rsid w:val="00DF46A7"/>
    <w:rsid w:val="00DF552B"/>
    <w:rsid w:val="00E009A2"/>
    <w:rsid w:val="00E02009"/>
    <w:rsid w:val="00E0295B"/>
    <w:rsid w:val="00E04A11"/>
    <w:rsid w:val="00E050F2"/>
    <w:rsid w:val="00E07396"/>
    <w:rsid w:val="00E108C2"/>
    <w:rsid w:val="00E129B6"/>
    <w:rsid w:val="00E12F35"/>
    <w:rsid w:val="00E14842"/>
    <w:rsid w:val="00E2027E"/>
    <w:rsid w:val="00E23FB7"/>
    <w:rsid w:val="00E248B3"/>
    <w:rsid w:val="00E26C5A"/>
    <w:rsid w:val="00E27561"/>
    <w:rsid w:val="00E32356"/>
    <w:rsid w:val="00E32A57"/>
    <w:rsid w:val="00E35AF7"/>
    <w:rsid w:val="00E36076"/>
    <w:rsid w:val="00E36739"/>
    <w:rsid w:val="00E36FB1"/>
    <w:rsid w:val="00E3799E"/>
    <w:rsid w:val="00E40286"/>
    <w:rsid w:val="00E423D9"/>
    <w:rsid w:val="00E4697E"/>
    <w:rsid w:val="00E510D5"/>
    <w:rsid w:val="00E62F35"/>
    <w:rsid w:val="00E665F2"/>
    <w:rsid w:val="00E67DCE"/>
    <w:rsid w:val="00E77673"/>
    <w:rsid w:val="00E776D4"/>
    <w:rsid w:val="00E82C3A"/>
    <w:rsid w:val="00E82F21"/>
    <w:rsid w:val="00E8483D"/>
    <w:rsid w:val="00E86AB1"/>
    <w:rsid w:val="00E90996"/>
    <w:rsid w:val="00E90A91"/>
    <w:rsid w:val="00E9356E"/>
    <w:rsid w:val="00E946C2"/>
    <w:rsid w:val="00E97F93"/>
    <w:rsid w:val="00EA1793"/>
    <w:rsid w:val="00EA3053"/>
    <w:rsid w:val="00EA3795"/>
    <w:rsid w:val="00EA3CB2"/>
    <w:rsid w:val="00EA5C25"/>
    <w:rsid w:val="00EA5CBA"/>
    <w:rsid w:val="00EA7F0B"/>
    <w:rsid w:val="00EB0C4F"/>
    <w:rsid w:val="00EB28F6"/>
    <w:rsid w:val="00EB7673"/>
    <w:rsid w:val="00EC160B"/>
    <w:rsid w:val="00EC1DF2"/>
    <w:rsid w:val="00EC1EE9"/>
    <w:rsid w:val="00EC30BC"/>
    <w:rsid w:val="00EC55C2"/>
    <w:rsid w:val="00ED05B4"/>
    <w:rsid w:val="00ED191F"/>
    <w:rsid w:val="00ED29C0"/>
    <w:rsid w:val="00ED72F8"/>
    <w:rsid w:val="00EE0354"/>
    <w:rsid w:val="00EE04B4"/>
    <w:rsid w:val="00EE1493"/>
    <w:rsid w:val="00EE2EBC"/>
    <w:rsid w:val="00EE5555"/>
    <w:rsid w:val="00EE76DB"/>
    <w:rsid w:val="00EE7AF7"/>
    <w:rsid w:val="00EF0C64"/>
    <w:rsid w:val="00EF115A"/>
    <w:rsid w:val="00EF31E0"/>
    <w:rsid w:val="00EF325A"/>
    <w:rsid w:val="00EF3DF3"/>
    <w:rsid w:val="00EF453B"/>
    <w:rsid w:val="00EF4951"/>
    <w:rsid w:val="00EF773F"/>
    <w:rsid w:val="00F0036B"/>
    <w:rsid w:val="00F007AF"/>
    <w:rsid w:val="00F02CD6"/>
    <w:rsid w:val="00F036F4"/>
    <w:rsid w:val="00F0474E"/>
    <w:rsid w:val="00F05A6F"/>
    <w:rsid w:val="00F07E69"/>
    <w:rsid w:val="00F142A2"/>
    <w:rsid w:val="00F15070"/>
    <w:rsid w:val="00F160D8"/>
    <w:rsid w:val="00F162D8"/>
    <w:rsid w:val="00F16B59"/>
    <w:rsid w:val="00F17615"/>
    <w:rsid w:val="00F1769F"/>
    <w:rsid w:val="00F17C84"/>
    <w:rsid w:val="00F203BE"/>
    <w:rsid w:val="00F20F83"/>
    <w:rsid w:val="00F23E40"/>
    <w:rsid w:val="00F24CB2"/>
    <w:rsid w:val="00F27760"/>
    <w:rsid w:val="00F310A9"/>
    <w:rsid w:val="00F31B28"/>
    <w:rsid w:val="00F32A43"/>
    <w:rsid w:val="00F330A8"/>
    <w:rsid w:val="00F33994"/>
    <w:rsid w:val="00F33DE8"/>
    <w:rsid w:val="00F36950"/>
    <w:rsid w:val="00F404C9"/>
    <w:rsid w:val="00F419AE"/>
    <w:rsid w:val="00F41C6F"/>
    <w:rsid w:val="00F43027"/>
    <w:rsid w:val="00F4335B"/>
    <w:rsid w:val="00F44F03"/>
    <w:rsid w:val="00F4550E"/>
    <w:rsid w:val="00F458BC"/>
    <w:rsid w:val="00F45C2D"/>
    <w:rsid w:val="00F4643A"/>
    <w:rsid w:val="00F46640"/>
    <w:rsid w:val="00F46815"/>
    <w:rsid w:val="00F4795D"/>
    <w:rsid w:val="00F533AD"/>
    <w:rsid w:val="00F60604"/>
    <w:rsid w:val="00F625E2"/>
    <w:rsid w:val="00F63103"/>
    <w:rsid w:val="00F64208"/>
    <w:rsid w:val="00F65668"/>
    <w:rsid w:val="00F7103F"/>
    <w:rsid w:val="00F726B6"/>
    <w:rsid w:val="00F737E5"/>
    <w:rsid w:val="00F75E8A"/>
    <w:rsid w:val="00F768BF"/>
    <w:rsid w:val="00F77D52"/>
    <w:rsid w:val="00F8182B"/>
    <w:rsid w:val="00F821BF"/>
    <w:rsid w:val="00F822D3"/>
    <w:rsid w:val="00F83BE5"/>
    <w:rsid w:val="00F83FD3"/>
    <w:rsid w:val="00F844B2"/>
    <w:rsid w:val="00F8582B"/>
    <w:rsid w:val="00F86B9C"/>
    <w:rsid w:val="00F87386"/>
    <w:rsid w:val="00F87490"/>
    <w:rsid w:val="00F9018F"/>
    <w:rsid w:val="00F90FA8"/>
    <w:rsid w:val="00F92B35"/>
    <w:rsid w:val="00F92E57"/>
    <w:rsid w:val="00F93E78"/>
    <w:rsid w:val="00F944ED"/>
    <w:rsid w:val="00FA0C40"/>
    <w:rsid w:val="00FA4391"/>
    <w:rsid w:val="00FA43FC"/>
    <w:rsid w:val="00FA4DBD"/>
    <w:rsid w:val="00FA5023"/>
    <w:rsid w:val="00FB205B"/>
    <w:rsid w:val="00FB34E2"/>
    <w:rsid w:val="00FB39D7"/>
    <w:rsid w:val="00FB4044"/>
    <w:rsid w:val="00FC12E2"/>
    <w:rsid w:val="00FC2AF3"/>
    <w:rsid w:val="00FC7488"/>
    <w:rsid w:val="00FC7A06"/>
    <w:rsid w:val="00FD5D62"/>
    <w:rsid w:val="00FE30D2"/>
    <w:rsid w:val="00FE488F"/>
    <w:rsid w:val="00FE4DE2"/>
    <w:rsid w:val="00FE7FAC"/>
    <w:rsid w:val="00FF1CA3"/>
    <w:rsid w:val="00FF2732"/>
    <w:rsid w:val="00FF3663"/>
    <w:rsid w:val="00FF3E84"/>
    <w:rsid w:val="00FF3F0D"/>
    <w:rsid w:val="00FF742C"/>
    <w:rsid w:val="00FF78F9"/>
    <w:rsid w:val="684C250C"/>
  </w:rsids>
  <m:mathPr>
    <m:mathFont m:val="Cambria Math"/>
    <m:brkBin m:val="before"/>
    <m:brkBinSub m:val="--"/>
    <m:smallFrac m:val="0"/>
    <m:dispDef/>
    <m:lMargin m:val="0"/>
    <m:rMargin m:val="0"/>
    <m:defJc m:val="centerGroup"/>
    <m:wrapIndent m:val="1440"/>
    <m:intLim m:val="subSup"/>
    <m:naryLim m:val="undOvr"/>
  </m:mathPr>
  <w:doNotAutoCompressPictures/>
  <w:themeFontLang w:val="en-SG"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iPriority="22" w:name="Strong"/>
    <w:lsdException w:qFormat="1" w:uiPriority="2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59" w:lineRule="auto"/>
      <w:ind w:firstLine="432"/>
      <w:jc w:val="both"/>
    </w:pPr>
    <w:rPr>
      <w:rFonts w:ascii="Arial" w:hAnsi="Arial" w:eastAsia="宋体" w:cstheme="minorBidi"/>
      <w:sz w:val="22"/>
      <w:szCs w:val="21"/>
      <w:lang w:val="en-SG" w:eastAsia="zh-CN" w:bidi="ar-SA"/>
    </w:rPr>
  </w:style>
  <w:style w:type="paragraph" w:styleId="2">
    <w:name w:val="heading 1"/>
    <w:next w:val="1"/>
    <w:link w:val="32"/>
    <w:qFormat/>
    <w:uiPriority w:val="9"/>
    <w:pPr>
      <w:keepNext/>
      <w:keepLines/>
      <w:spacing w:before="240" w:after="240" w:line="240" w:lineRule="auto"/>
      <w:jc w:val="both"/>
      <w:outlineLvl w:val="0"/>
    </w:pPr>
    <w:rPr>
      <w:rFonts w:ascii="宋体" w:hAnsi="宋体" w:eastAsia="宋体" w:cstheme="majorBidi"/>
      <w:b/>
      <w:color w:val="000000" w:themeColor="text1"/>
      <w:sz w:val="32"/>
      <w:szCs w:val="32"/>
      <w:lang w:val="en-SG" w:eastAsia="zh-CN" w:bidi="ar-SA"/>
      <w14:textFill>
        <w14:solidFill>
          <w14:schemeClr w14:val="tx1"/>
        </w14:solidFill>
      </w14:textFill>
    </w:rPr>
  </w:style>
  <w:style w:type="paragraph" w:styleId="3">
    <w:name w:val="heading 2"/>
    <w:next w:val="1"/>
    <w:link w:val="33"/>
    <w:qFormat/>
    <w:uiPriority w:val="9"/>
    <w:pPr>
      <w:keepNext/>
      <w:keepLines/>
      <w:numPr>
        <w:ilvl w:val="0"/>
        <w:numId w:val="1"/>
      </w:numPr>
      <w:spacing w:before="120" w:after="120" w:line="240" w:lineRule="auto"/>
      <w:ind w:left="720"/>
      <w:outlineLvl w:val="1"/>
    </w:pPr>
    <w:rPr>
      <w:rFonts w:ascii="宋体" w:hAnsi="宋体" w:eastAsia="宋体" w:cstheme="majorBidi"/>
      <w:b/>
      <w:color w:val="000000" w:themeColor="text1"/>
      <w:sz w:val="24"/>
      <w:szCs w:val="26"/>
      <w:lang w:val="en-SG" w:eastAsia="zh-CN" w:bidi="ar-SA"/>
      <w14:textFill>
        <w14:solidFill>
          <w14:schemeClr w14:val="tx1"/>
        </w14:solidFill>
      </w14:textFill>
    </w:rPr>
  </w:style>
  <w:style w:type="paragraph" w:styleId="4">
    <w:name w:val="heading 3"/>
    <w:basedOn w:val="1"/>
    <w:next w:val="1"/>
    <w:link w:val="35"/>
    <w:qFormat/>
    <w:uiPriority w:val="9"/>
    <w:pPr>
      <w:keepNext/>
      <w:keepLines/>
      <w:numPr>
        <w:ilvl w:val="0"/>
        <w:numId w:val="2"/>
      </w:numPr>
      <w:spacing w:before="240" w:line="240" w:lineRule="auto"/>
      <w:outlineLvl w:val="2"/>
    </w:pPr>
    <w:rPr>
      <w:rFonts w:cstheme="majorBidi"/>
      <w:sz w:val="24"/>
      <w:szCs w:val="24"/>
    </w:rPr>
  </w:style>
  <w:style w:type="paragraph" w:styleId="5">
    <w:name w:val="heading 4"/>
    <w:basedOn w:val="1"/>
    <w:next w:val="1"/>
    <w:link w:val="36"/>
    <w:qFormat/>
    <w:uiPriority w:val="9"/>
    <w:pPr>
      <w:keepNext/>
      <w:keepLines/>
      <w:numPr>
        <w:ilvl w:val="0"/>
        <w:numId w:val="3"/>
      </w:numPr>
      <w:ind w:left="792"/>
      <w:outlineLvl w:val="3"/>
    </w:pPr>
    <w:rPr>
      <w:rFonts w:ascii="宋体" w:hAnsi="宋体" w:cstheme="majorBidi"/>
      <w:iCs/>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caption"/>
    <w:basedOn w:val="1"/>
    <w:next w:val="1"/>
    <w:qFormat/>
    <w:uiPriority w:val="35"/>
    <w:pPr>
      <w:spacing w:before="120" w:line="240" w:lineRule="auto"/>
      <w:jc w:val="center"/>
    </w:pPr>
    <w:rPr>
      <w:iCs/>
      <w:szCs w:val="18"/>
    </w:rPr>
  </w:style>
  <w:style w:type="paragraph" w:styleId="7">
    <w:name w:val="annotation text"/>
    <w:basedOn w:val="1"/>
    <w:link w:val="27"/>
    <w:semiHidden/>
    <w:unhideWhenUsed/>
    <w:qFormat/>
    <w:uiPriority w:val="99"/>
    <w:pPr>
      <w:spacing w:line="240" w:lineRule="auto"/>
    </w:pPr>
    <w:rPr>
      <w:sz w:val="20"/>
      <w:szCs w:val="20"/>
    </w:rPr>
  </w:style>
  <w:style w:type="paragraph" w:styleId="8">
    <w:name w:val="toc 3"/>
    <w:basedOn w:val="1"/>
    <w:next w:val="1"/>
    <w:unhideWhenUsed/>
    <w:uiPriority w:val="39"/>
    <w:pPr>
      <w:spacing w:after="100"/>
      <w:ind w:left="440"/>
    </w:pPr>
  </w:style>
  <w:style w:type="paragraph" w:styleId="9">
    <w:name w:val="Balloon Text"/>
    <w:basedOn w:val="1"/>
    <w:link w:val="29"/>
    <w:semiHidden/>
    <w:unhideWhenUsed/>
    <w:qFormat/>
    <w:uiPriority w:val="99"/>
    <w:pPr>
      <w:spacing w:after="0" w:line="240" w:lineRule="auto"/>
    </w:pPr>
    <w:rPr>
      <w:rFonts w:ascii="Segoe UI" w:hAnsi="Segoe UI" w:cs="Segoe UI"/>
      <w:sz w:val="18"/>
      <w:szCs w:val="18"/>
    </w:rPr>
  </w:style>
  <w:style w:type="paragraph" w:styleId="10">
    <w:name w:val="footer"/>
    <w:basedOn w:val="1"/>
    <w:link w:val="31"/>
    <w:unhideWhenUsed/>
    <w:qFormat/>
    <w:uiPriority w:val="99"/>
    <w:pPr>
      <w:tabs>
        <w:tab w:val="center" w:pos="4513"/>
        <w:tab w:val="right" w:pos="9026"/>
      </w:tabs>
      <w:spacing w:after="0" w:line="240" w:lineRule="auto"/>
    </w:pPr>
  </w:style>
  <w:style w:type="paragraph" w:styleId="11">
    <w:name w:val="header"/>
    <w:basedOn w:val="1"/>
    <w:link w:val="30"/>
    <w:unhideWhenUsed/>
    <w:qFormat/>
    <w:uiPriority w:val="99"/>
    <w:pPr>
      <w:tabs>
        <w:tab w:val="center" w:pos="4513"/>
        <w:tab w:val="right" w:pos="9026"/>
      </w:tabs>
      <w:spacing w:after="0" w:line="240" w:lineRule="auto"/>
    </w:pPr>
  </w:style>
  <w:style w:type="paragraph" w:styleId="12">
    <w:name w:val="toc 1"/>
    <w:basedOn w:val="1"/>
    <w:next w:val="1"/>
    <w:unhideWhenUsed/>
    <w:qFormat/>
    <w:uiPriority w:val="39"/>
    <w:pPr>
      <w:spacing w:after="100"/>
    </w:pPr>
  </w:style>
  <w:style w:type="paragraph" w:styleId="13">
    <w:name w:val="Subtitle"/>
    <w:basedOn w:val="1"/>
    <w:next w:val="1"/>
    <w:link w:val="26"/>
    <w:qFormat/>
    <w:uiPriority w:val="11"/>
    <w:pPr>
      <w:ind w:firstLine="432"/>
      <w:jc w:val="center"/>
    </w:pPr>
    <w:rPr>
      <w:rFonts w:ascii="宋体" w:hAnsi="宋体" w:eastAsiaTheme="minorEastAsia"/>
      <w:b/>
      <w:spacing w:val="15"/>
      <w:sz w:val="32"/>
    </w:rPr>
  </w:style>
  <w:style w:type="paragraph" w:styleId="14">
    <w:name w:val="footnote text"/>
    <w:basedOn w:val="1"/>
    <w:link w:val="44"/>
    <w:semiHidden/>
    <w:unhideWhenUsed/>
    <w:qFormat/>
    <w:uiPriority w:val="99"/>
    <w:pPr>
      <w:spacing w:after="0" w:line="240" w:lineRule="auto"/>
    </w:pPr>
    <w:rPr>
      <w:sz w:val="20"/>
      <w:szCs w:val="20"/>
    </w:rPr>
  </w:style>
  <w:style w:type="paragraph" w:styleId="15">
    <w:name w:val="toc 2"/>
    <w:basedOn w:val="1"/>
    <w:next w:val="1"/>
    <w:unhideWhenUsed/>
    <w:uiPriority w:val="39"/>
    <w:pPr>
      <w:spacing w:after="100"/>
      <w:ind w:left="220"/>
    </w:pPr>
  </w:style>
  <w:style w:type="paragraph" w:styleId="16">
    <w:name w:val="Normal (Web)"/>
    <w:basedOn w:val="1"/>
    <w:unhideWhenUsed/>
    <w:qFormat/>
    <w:uiPriority w:val="99"/>
    <w:pPr>
      <w:spacing w:before="100" w:beforeAutospacing="1" w:after="100" w:afterAutospacing="1" w:line="240" w:lineRule="auto"/>
      <w:ind w:firstLine="0"/>
    </w:pPr>
    <w:rPr>
      <w:rFonts w:ascii="Times New Roman" w:hAnsi="Times New Roman" w:cs="Times New Roman" w:eastAsiaTheme="minorEastAsia"/>
      <w:sz w:val="24"/>
      <w:szCs w:val="24"/>
    </w:rPr>
  </w:style>
  <w:style w:type="paragraph" w:styleId="17">
    <w:name w:val="Title"/>
    <w:basedOn w:val="1"/>
    <w:next w:val="1"/>
    <w:link w:val="25"/>
    <w:qFormat/>
    <w:uiPriority w:val="10"/>
    <w:pPr>
      <w:spacing w:after="0" w:line="240" w:lineRule="auto"/>
      <w:contextualSpacing/>
      <w:jc w:val="center"/>
    </w:pPr>
    <w:rPr>
      <w:rFonts w:ascii="宋体" w:hAnsi="宋体" w:eastAsiaTheme="majorEastAsia" w:cstheme="majorBidi"/>
      <w:b/>
      <w:spacing w:val="-10"/>
      <w:kern w:val="28"/>
      <w:sz w:val="48"/>
      <w:szCs w:val="56"/>
    </w:rPr>
  </w:style>
  <w:style w:type="paragraph" w:styleId="18">
    <w:name w:val="annotation subject"/>
    <w:basedOn w:val="7"/>
    <w:next w:val="7"/>
    <w:link w:val="28"/>
    <w:semiHidden/>
    <w:unhideWhenUsed/>
    <w:qFormat/>
    <w:uiPriority w:val="99"/>
    <w:rPr>
      <w:b/>
      <w:bCs/>
    </w:rPr>
  </w:style>
  <w:style w:type="table" w:styleId="20">
    <w:name w:val="Table Grid"/>
    <w:basedOn w:val="1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16"/>
      <w:szCs w:val="16"/>
    </w:rPr>
  </w:style>
  <w:style w:type="character" w:styleId="24">
    <w:name w:val="footnote reference"/>
    <w:basedOn w:val="21"/>
    <w:semiHidden/>
    <w:unhideWhenUsed/>
    <w:qFormat/>
    <w:uiPriority w:val="99"/>
    <w:rPr>
      <w:vertAlign w:val="superscript"/>
    </w:rPr>
  </w:style>
  <w:style w:type="character" w:customStyle="1" w:styleId="25">
    <w:name w:val="Title Char"/>
    <w:basedOn w:val="21"/>
    <w:link w:val="17"/>
    <w:uiPriority w:val="10"/>
    <w:rPr>
      <w:rFonts w:ascii="宋体" w:hAnsi="宋体" w:eastAsiaTheme="majorEastAsia" w:cstheme="majorBidi"/>
      <w:b/>
      <w:spacing w:val="-10"/>
      <w:kern w:val="28"/>
      <w:sz w:val="48"/>
      <w:szCs w:val="56"/>
    </w:rPr>
  </w:style>
  <w:style w:type="character" w:customStyle="1" w:styleId="26">
    <w:name w:val="Subtitle Char"/>
    <w:basedOn w:val="21"/>
    <w:link w:val="13"/>
    <w:uiPriority w:val="11"/>
    <w:rPr>
      <w:rFonts w:ascii="宋体" w:hAnsi="宋体" w:eastAsiaTheme="minorEastAsia"/>
      <w:b/>
      <w:spacing w:val="15"/>
      <w:sz w:val="32"/>
    </w:rPr>
  </w:style>
  <w:style w:type="character" w:customStyle="1" w:styleId="27">
    <w:name w:val="Comment Text Char"/>
    <w:basedOn w:val="21"/>
    <w:link w:val="7"/>
    <w:semiHidden/>
    <w:qFormat/>
    <w:uiPriority w:val="99"/>
    <w:rPr>
      <w:sz w:val="20"/>
      <w:szCs w:val="20"/>
    </w:rPr>
  </w:style>
  <w:style w:type="character" w:customStyle="1" w:styleId="28">
    <w:name w:val="Comment Subject Char"/>
    <w:basedOn w:val="27"/>
    <w:link w:val="18"/>
    <w:semiHidden/>
    <w:qFormat/>
    <w:uiPriority w:val="99"/>
    <w:rPr>
      <w:b/>
      <w:bCs/>
      <w:sz w:val="20"/>
      <w:szCs w:val="20"/>
    </w:rPr>
  </w:style>
  <w:style w:type="character" w:customStyle="1" w:styleId="29">
    <w:name w:val="Balloon Text Char"/>
    <w:basedOn w:val="21"/>
    <w:link w:val="9"/>
    <w:semiHidden/>
    <w:qFormat/>
    <w:uiPriority w:val="99"/>
    <w:rPr>
      <w:rFonts w:ascii="Segoe UI" w:hAnsi="Segoe UI" w:cs="Segoe UI"/>
      <w:sz w:val="18"/>
      <w:szCs w:val="18"/>
    </w:rPr>
  </w:style>
  <w:style w:type="character" w:customStyle="1" w:styleId="30">
    <w:name w:val="Header Char"/>
    <w:basedOn w:val="21"/>
    <w:link w:val="11"/>
    <w:qFormat/>
    <w:uiPriority w:val="99"/>
  </w:style>
  <w:style w:type="character" w:customStyle="1" w:styleId="31">
    <w:name w:val="Footer Char"/>
    <w:basedOn w:val="21"/>
    <w:link w:val="10"/>
    <w:qFormat/>
    <w:uiPriority w:val="99"/>
  </w:style>
  <w:style w:type="character" w:customStyle="1" w:styleId="32">
    <w:name w:val="Heading 1 Char"/>
    <w:basedOn w:val="21"/>
    <w:link w:val="2"/>
    <w:qFormat/>
    <w:uiPriority w:val="9"/>
    <w:rPr>
      <w:rFonts w:ascii="宋体" w:hAnsi="宋体" w:cstheme="majorBidi"/>
      <w:b/>
      <w:color w:val="000000" w:themeColor="text1"/>
      <w:sz w:val="32"/>
      <w:szCs w:val="32"/>
      <w14:textFill>
        <w14:solidFill>
          <w14:schemeClr w14:val="tx1"/>
        </w14:solidFill>
      </w14:textFill>
    </w:rPr>
  </w:style>
  <w:style w:type="character" w:customStyle="1" w:styleId="33">
    <w:name w:val="Heading 2 Char"/>
    <w:basedOn w:val="21"/>
    <w:link w:val="3"/>
    <w:qFormat/>
    <w:uiPriority w:val="9"/>
    <w:rPr>
      <w:rFonts w:ascii="宋体" w:hAnsi="宋体" w:cstheme="majorBidi"/>
      <w:b/>
      <w:color w:val="000000" w:themeColor="text1"/>
      <w:sz w:val="24"/>
      <w:szCs w:val="26"/>
      <w14:textFill>
        <w14:solidFill>
          <w14:schemeClr w14:val="tx1"/>
        </w14:solidFill>
      </w14:textFill>
    </w:rPr>
  </w:style>
  <w:style w:type="paragraph" w:styleId="34">
    <w:name w:val="No Spacing"/>
    <w:unhideWhenUsed/>
    <w:qFormat/>
    <w:uiPriority w:val="1"/>
    <w:pPr>
      <w:spacing w:after="0" w:line="240" w:lineRule="auto"/>
    </w:pPr>
    <w:rPr>
      <w:rFonts w:ascii="Arial" w:hAnsi="Arial" w:eastAsia="宋体" w:cstheme="minorBidi"/>
      <w:sz w:val="21"/>
      <w:szCs w:val="21"/>
      <w:lang w:val="en-SG" w:eastAsia="zh-CN" w:bidi="ar-SA"/>
    </w:rPr>
  </w:style>
  <w:style w:type="character" w:customStyle="1" w:styleId="35">
    <w:name w:val="Heading 3 Char"/>
    <w:basedOn w:val="21"/>
    <w:link w:val="4"/>
    <w:qFormat/>
    <w:uiPriority w:val="9"/>
    <w:rPr>
      <w:rFonts w:cstheme="majorBidi"/>
      <w:sz w:val="24"/>
      <w:szCs w:val="24"/>
    </w:rPr>
  </w:style>
  <w:style w:type="character" w:customStyle="1" w:styleId="36">
    <w:name w:val="Heading 4 Char"/>
    <w:basedOn w:val="21"/>
    <w:link w:val="5"/>
    <w:qFormat/>
    <w:uiPriority w:val="9"/>
    <w:rPr>
      <w:rFonts w:ascii="宋体" w:hAnsi="宋体" w:cstheme="majorBidi"/>
      <w:iCs/>
      <w:sz w:val="22"/>
    </w:rPr>
  </w:style>
  <w:style w:type="paragraph" w:styleId="37">
    <w:name w:val="List Paragraph"/>
    <w:basedOn w:val="1"/>
    <w:unhideWhenUsed/>
    <w:qFormat/>
    <w:uiPriority w:val="34"/>
    <w:pPr>
      <w:ind w:left="720"/>
      <w:contextualSpacing/>
    </w:pPr>
  </w:style>
  <w:style w:type="paragraph" w:customStyle="1" w:styleId="38">
    <w:name w:val="Revision"/>
    <w:hidden/>
    <w:semiHidden/>
    <w:qFormat/>
    <w:uiPriority w:val="99"/>
    <w:pPr>
      <w:spacing w:after="0" w:line="240" w:lineRule="auto"/>
    </w:pPr>
    <w:rPr>
      <w:rFonts w:ascii="Arial" w:hAnsi="Arial" w:eastAsia="宋体" w:cstheme="minorBidi"/>
      <w:sz w:val="21"/>
      <w:szCs w:val="21"/>
      <w:lang w:val="en-SG" w:eastAsia="zh-CN" w:bidi="ar-SA"/>
    </w:rPr>
  </w:style>
  <w:style w:type="paragraph" w:customStyle="1" w:styleId="39">
    <w:name w:val="TOC Heading"/>
    <w:basedOn w:val="2"/>
    <w:next w:val="1"/>
    <w:unhideWhenUsed/>
    <w:qFormat/>
    <w:uiPriority w:val="39"/>
    <w:pPr>
      <w:spacing w:after="0" w:line="259" w:lineRule="auto"/>
      <w:outlineLvl w:val="9"/>
    </w:pPr>
    <w:rPr>
      <w:rFonts w:asciiTheme="majorHAnsi" w:hAnsiTheme="majorHAnsi" w:eastAsiaTheme="majorEastAsia"/>
      <w:b w:val="0"/>
      <w:color w:val="2F5597" w:themeColor="accent1" w:themeShade="BF"/>
      <w:lang w:val="en-US" w:eastAsia="en-US"/>
    </w:rPr>
  </w:style>
  <w:style w:type="paragraph" w:customStyle="1" w:styleId="40">
    <w:name w:val="EndNote Bibliography Title"/>
    <w:basedOn w:val="1"/>
    <w:link w:val="41"/>
    <w:qFormat/>
    <w:uiPriority w:val="0"/>
    <w:pPr>
      <w:spacing w:after="0"/>
      <w:jc w:val="center"/>
    </w:pPr>
    <w:rPr>
      <w:rFonts w:ascii="宋体" w:hAnsi="宋体"/>
    </w:rPr>
  </w:style>
  <w:style w:type="character" w:customStyle="1" w:styleId="41">
    <w:name w:val="EndNote Bibliography Title Char"/>
    <w:basedOn w:val="21"/>
    <w:link w:val="40"/>
    <w:qFormat/>
    <w:uiPriority w:val="0"/>
    <w:rPr>
      <w:rFonts w:ascii="宋体" w:hAnsi="宋体"/>
      <w:sz w:val="22"/>
    </w:rPr>
  </w:style>
  <w:style w:type="paragraph" w:customStyle="1" w:styleId="42">
    <w:name w:val="EndNote Bibliography"/>
    <w:basedOn w:val="1"/>
    <w:link w:val="43"/>
    <w:uiPriority w:val="0"/>
    <w:pPr>
      <w:spacing w:line="240" w:lineRule="auto"/>
      <w:jc w:val="left"/>
    </w:pPr>
    <w:rPr>
      <w:rFonts w:ascii="宋体" w:hAnsi="宋体"/>
    </w:rPr>
  </w:style>
  <w:style w:type="character" w:customStyle="1" w:styleId="43">
    <w:name w:val="EndNote Bibliography Char"/>
    <w:basedOn w:val="21"/>
    <w:link w:val="42"/>
    <w:qFormat/>
    <w:uiPriority w:val="0"/>
    <w:rPr>
      <w:rFonts w:ascii="宋体" w:hAnsi="宋体"/>
      <w:sz w:val="22"/>
    </w:rPr>
  </w:style>
  <w:style w:type="character" w:customStyle="1" w:styleId="44">
    <w:name w:val="Footnote Text Char"/>
    <w:basedOn w:val="21"/>
    <w:link w:val="14"/>
    <w:semiHidden/>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tiff"/><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43F6E1-8932-484F-B506-AEA6E96242A8}">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22865</Words>
  <Characters>28412</Characters>
  <Lines>399</Lines>
  <Paragraphs>112</Paragraphs>
  <TotalTime>2531</TotalTime>
  <ScaleCrop>false</ScaleCrop>
  <LinksUpToDate>false</LinksUpToDate>
  <CharactersWithSpaces>30138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2018-07-05T09:17:00Z</dcterms:created>
  <dc:creator>Mulu Wu</dc:creator>
  <cp:lastModifiedBy>Mr. Firework</cp:lastModifiedBy>
  <dcterms:modified xsi:type="dcterms:W3CDTF">2022-11-16T10:07:30Z</dcterms:modified>
  <cp:revision>420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08836AFA2B9A47C0B8E672533C1E4A3D</vt:lpwstr>
  </property>
</Properties>
</file>